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5D" w:rsidRDefault="007B665D" w:rsidP="007B665D">
      <w:pPr>
        <w:spacing w:line="600" w:lineRule="exact"/>
        <w:outlineLvl w:val="0"/>
        <w:rPr>
          <w:rFonts w:ascii="黑体" w:eastAsia="黑体" w:hAnsi="黑体"/>
          <w:sz w:val="32"/>
          <w:szCs w:val="32"/>
        </w:rPr>
      </w:pPr>
      <w:r>
        <w:rPr>
          <w:rFonts w:ascii="黑体" w:eastAsia="黑体" w:hAnsi="黑体" w:hint="eastAsia"/>
          <w:sz w:val="32"/>
          <w:szCs w:val="32"/>
        </w:rPr>
        <w:t>附件2</w:t>
      </w:r>
    </w:p>
    <w:p w:rsidR="007B665D" w:rsidRDefault="007B665D" w:rsidP="007B665D">
      <w:pPr>
        <w:snapToGrid w:val="0"/>
        <w:spacing w:line="360" w:lineRule="auto"/>
        <w:jc w:val="center"/>
        <w:rPr>
          <w:rFonts w:ascii="方正仿宋简体" w:eastAsia="方正仿宋简体" w:hAnsi="方正大标宋简体"/>
          <w:sz w:val="48"/>
          <w:szCs w:val="48"/>
        </w:rPr>
      </w:pPr>
    </w:p>
    <w:p w:rsidR="007B665D" w:rsidRDefault="007B665D" w:rsidP="007B665D">
      <w:pPr>
        <w:spacing w:line="6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食品、食品添加剂生产许可现场核查评分记录表</w:t>
      </w:r>
    </w:p>
    <w:p w:rsidR="007B665D" w:rsidRDefault="007B665D" w:rsidP="007B665D">
      <w:pPr>
        <w:adjustRightInd w:val="0"/>
        <w:snapToGrid w:val="0"/>
        <w:spacing w:line="360" w:lineRule="auto"/>
        <w:ind w:rightChars="-14" w:right="-29" w:firstLineChars="877" w:firstLine="1842"/>
        <w:jc w:val="left"/>
        <w:rPr>
          <w:rFonts w:ascii="方正仿宋简体" w:eastAsia="方正仿宋简体"/>
          <w:szCs w:val="21"/>
        </w:rPr>
      </w:pPr>
    </w:p>
    <w:p w:rsidR="007B665D" w:rsidRPr="000F38EE" w:rsidRDefault="007B665D" w:rsidP="000F38EE">
      <w:pPr>
        <w:adjustRightInd w:val="0"/>
        <w:snapToGrid w:val="0"/>
        <w:spacing w:beforeLines="100" w:line="600" w:lineRule="exact"/>
        <w:ind w:firstLineChars="800" w:firstLine="2560"/>
        <w:jc w:val="left"/>
        <w:rPr>
          <w:rFonts w:eastAsia="仿宋_GB2312"/>
          <w:sz w:val="32"/>
          <w:szCs w:val="32"/>
          <w:u w:val="single"/>
        </w:rPr>
      </w:pPr>
      <w:r>
        <w:rPr>
          <w:rFonts w:eastAsia="仿宋_GB2312" w:hint="eastAsia"/>
          <w:sz w:val="32"/>
          <w:szCs w:val="32"/>
        </w:rPr>
        <w:t>申请人名称：</w:t>
      </w:r>
      <w:r w:rsidR="000F38EE">
        <w:rPr>
          <w:rFonts w:eastAsia="仿宋_GB2312" w:hint="eastAsia"/>
          <w:sz w:val="32"/>
          <w:szCs w:val="32"/>
          <w:u w:val="single"/>
        </w:rPr>
        <w:t xml:space="preserve">                                  </w:t>
      </w:r>
    </w:p>
    <w:p w:rsidR="007B665D" w:rsidRDefault="007B665D" w:rsidP="000F38EE">
      <w:pPr>
        <w:adjustRightInd w:val="0"/>
        <w:snapToGrid w:val="0"/>
        <w:spacing w:beforeLines="100" w:line="600" w:lineRule="exact"/>
        <w:ind w:firstLineChars="800" w:firstLine="2560"/>
        <w:jc w:val="left"/>
        <w:rPr>
          <w:rFonts w:eastAsia="仿宋_GB2312"/>
          <w:sz w:val="32"/>
          <w:szCs w:val="32"/>
          <w:u w:val="single"/>
        </w:rPr>
      </w:pPr>
      <w:r>
        <w:rPr>
          <w:rFonts w:eastAsia="仿宋_GB2312" w:hint="eastAsia"/>
          <w:sz w:val="32"/>
          <w:szCs w:val="32"/>
        </w:rPr>
        <w:t>食品、食品添加剂类别及类别名称：</w:t>
      </w:r>
      <w:r w:rsidR="000F38EE" w:rsidRPr="000F38EE">
        <w:rPr>
          <w:rFonts w:eastAsia="仿宋_GB2312" w:hint="eastAsia"/>
          <w:sz w:val="32"/>
          <w:szCs w:val="32"/>
          <w:u w:val="single"/>
        </w:rPr>
        <w:t xml:space="preserve">            </w:t>
      </w:r>
      <w:r w:rsidR="000F38EE">
        <w:rPr>
          <w:rFonts w:eastAsia="仿宋_GB2312" w:hint="eastAsia"/>
          <w:sz w:val="32"/>
          <w:szCs w:val="32"/>
          <w:u w:val="single"/>
        </w:rPr>
        <w:t xml:space="preserve">  </w:t>
      </w:r>
    </w:p>
    <w:p w:rsidR="007B665D" w:rsidRDefault="007B665D" w:rsidP="000F38EE">
      <w:pPr>
        <w:adjustRightInd w:val="0"/>
        <w:snapToGrid w:val="0"/>
        <w:spacing w:beforeLines="100" w:line="600" w:lineRule="exact"/>
        <w:ind w:firstLineChars="800" w:firstLine="2560"/>
        <w:jc w:val="left"/>
        <w:rPr>
          <w:rFonts w:eastAsia="仿宋_GB2312"/>
          <w:sz w:val="32"/>
          <w:szCs w:val="32"/>
          <w:u w:val="single"/>
        </w:rPr>
      </w:pPr>
      <w:r>
        <w:rPr>
          <w:rFonts w:eastAsia="仿宋_GB2312" w:hint="eastAsia"/>
          <w:sz w:val="32"/>
          <w:szCs w:val="32"/>
        </w:rPr>
        <w:t>生产场所地址：</w:t>
      </w:r>
      <w:r w:rsidR="000F38EE" w:rsidRPr="000F38EE">
        <w:rPr>
          <w:rFonts w:eastAsia="仿宋_GB2312" w:hint="eastAsia"/>
          <w:sz w:val="32"/>
          <w:szCs w:val="32"/>
          <w:u w:val="single"/>
        </w:rPr>
        <w:t xml:space="preserve">                              </w:t>
      </w:r>
      <w:r w:rsidR="000F38EE">
        <w:rPr>
          <w:rFonts w:eastAsia="仿宋_GB2312" w:hint="eastAsia"/>
          <w:sz w:val="32"/>
          <w:szCs w:val="32"/>
          <w:u w:val="single"/>
        </w:rPr>
        <w:t xml:space="preserve">  </w:t>
      </w:r>
    </w:p>
    <w:p w:rsidR="007B665D" w:rsidRDefault="007B665D" w:rsidP="000F38EE">
      <w:pPr>
        <w:adjustRightInd w:val="0"/>
        <w:spacing w:beforeLines="100" w:line="600" w:lineRule="exact"/>
        <w:ind w:firstLineChars="800" w:firstLine="2560"/>
        <w:jc w:val="left"/>
        <w:rPr>
          <w:rFonts w:eastAsia="仿宋_GB2312"/>
          <w:sz w:val="48"/>
          <w:szCs w:val="48"/>
        </w:rPr>
      </w:pPr>
      <w:r>
        <w:rPr>
          <w:rFonts w:eastAsia="仿宋_GB2312" w:hint="eastAsia"/>
          <w:sz w:val="32"/>
          <w:szCs w:val="32"/>
        </w:rPr>
        <w:t>核查日期：</w:t>
      </w:r>
      <w:r w:rsidR="000F38EE" w:rsidRPr="000F38EE">
        <w:rPr>
          <w:rFonts w:eastAsia="仿宋_GB2312" w:hint="eastAsia"/>
          <w:sz w:val="32"/>
          <w:szCs w:val="32"/>
          <w:u w:val="single"/>
        </w:rPr>
        <w:t xml:space="preserve">          </w:t>
      </w:r>
      <w:r w:rsidRPr="000F38EE">
        <w:rPr>
          <w:rFonts w:eastAsia="仿宋_GB2312" w:hint="eastAsia"/>
          <w:sz w:val="32"/>
          <w:szCs w:val="32"/>
          <w:u w:val="single"/>
        </w:rPr>
        <w:t>年</w:t>
      </w:r>
      <w:r w:rsidR="000F38EE" w:rsidRPr="000F38EE">
        <w:rPr>
          <w:rFonts w:eastAsia="仿宋_GB2312" w:hint="eastAsia"/>
          <w:sz w:val="32"/>
          <w:szCs w:val="32"/>
          <w:u w:val="single"/>
        </w:rPr>
        <w:t xml:space="preserve">          </w:t>
      </w:r>
      <w:r w:rsidRPr="000F38EE">
        <w:rPr>
          <w:rFonts w:eastAsia="仿宋_GB2312" w:hint="eastAsia"/>
          <w:sz w:val="32"/>
          <w:szCs w:val="32"/>
          <w:u w:val="single"/>
        </w:rPr>
        <w:t>月</w:t>
      </w:r>
      <w:r w:rsidR="000F38EE" w:rsidRPr="000F38EE">
        <w:rPr>
          <w:rFonts w:eastAsia="仿宋_GB2312" w:hint="eastAsia"/>
          <w:sz w:val="32"/>
          <w:szCs w:val="32"/>
          <w:u w:val="single"/>
        </w:rPr>
        <w:t xml:space="preserve">          </w:t>
      </w:r>
      <w:r w:rsidRPr="000F38EE">
        <w:rPr>
          <w:rFonts w:eastAsia="仿宋_GB2312" w:hint="eastAsia"/>
          <w:sz w:val="32"/>
          <w:szCs w:val="32"/>
          <w:u w:val="single"/>
        </w:rPr>
        <w:t>日</w:t>
      </w:r>
    </w:p>
    <w:p w:rsidR="007B665D" w:rsidRDefault="007B665D" w:rsidP="007B665D">
      <w:pPr>
        <w:widowControl/>
        <w:jc w:val="left"/>
        <w:rPr>
          <w:rFonts w:ascii="方正小标宋简体" w:eastAsia="方正小标宋简体" w:cs="方正小标宋简体"/>
          <w:sz w:val="36"/>
          <w:szCs w:val="36"/>
        </w:rPr>
        <w:sectPr w:rsidR="007B665D">
          <w:pgSz w:w="16838" w:h="11906" w:orient="landscape"/>
          <w:pgMar w:top="1701" w:right="1701" w:bottom="1701" w:left="1701" w:header="1134" w:footer="1134" w:gutter="0"/>
          <w:cols w:space="720"/>
        </w:sectPr>
      </w:pPr>
    </w:p>
    <w:p w:rsidR="007B665D" w:rsidRDefault="007B665D" w:rsidP="007B665D">
      <w:pPr>
        <w:spacing w:line="600" w:lineRule="exact"/>
        <w:rPr>
          <w:rFonts w:ascii="方正小标宋简体" w:eastAsia="方正小标宋简体" w:cs="方正小标宋简体"/>
          <w:sz w:val="36"/>
          <w:szCs w:val="36"/>
        </w:rPr>
      </w:pPr>
    </w:p>
    <w:tbl>
      <w:tblPr>
        <w:tblW w:w="13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4537"/>
        <w:gridCol w:w="1701"/>
        <w:gridCol w:w="2978"/>
        <w:gridCol w:w="1985"/>
      </w:tblGrid>
      <w:tr w:rsidR="007B665D" w:rsidTr="007B665D">
        <w:trPr>
          <w:cantSplit/>
          <w:trHeight w:val="73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核</w:t>
            </w:r>
          </w:p>
          <w:p w:rsidR="007B665D" w:rsidRDefault="007B665D">
            <w:pPr>
              <w:spacing w:line="400" w:lineRule="exact"/>
              <w:jc w:val="center"/>
              <w:rPr>
                <w:rFonts w:eastAsia="仿宋_GB2312"/>
                <w:sz w:val="24"/>
              </w:rPr>
            </w:pPr>
            <w:r>
              <w:rPr>
                <w:rFonts w:eastAsia="仿宋_GB2312" w:hint="eastAsia"/>
                <w:sz w:val="24"/>
              </w:rPr>
              <w:t>查</w:t>
            </w:r>
          </w:p>
          <w:p w:rsidR="007B665D" w:rsidRDefault="007B665D">
            <w:pPr>
              <w:spacing w:line="400" w:lineRule="exact"/>
              <w:jc w:val="center"/>
              <w:rPr>
                <w:rFonts w:eastAsia="仿宋_GB2312"/>
                <w:sz w:val="24"/>
              </w:rPr>
            </w:pPr>
            <w:r>
              <w:rPr>
                <w:rFonts w:eastAsia="仿宋_GB2312" w:hint="eastAsia"/>
                <w:sz w:val="24"/>
              </w:rPr>
              <w:t>组</w:t>
            </w:r>
          </w:p>
          <w:p w:rsidR="007B665D" w:rsidRDefault="007B665D">
            <w:pPr>
              <w:spacing w:line="400" w:lineRule="exact"/>
              <w:jc w:val="center"/>
              <w:rPr>
                <w:rFonts w:eastAsia="仿宋_GB2312"/>
                <w:sz w:val="24"/>
              </w:rPr>
            </w:pPr>
            <w:r>
              <w:rPr>
                <w:rFonts w:eastAsia="仿宋_GB2312" w:hint="eastAsia"/>
                <w:sz w:val="24"/>
              </w:rPr>
              <w:t>成</w:t>
            </w:r>
          </w:p>
          <w:p w:rsidR="007B665D" w:rsidRDefault="007B665D">
            <w:pPr>
              <w:spacing w:line="400" w:lineRule="exact"/>
              <w:jc w:val="center"/>
              <w:rPr>
                <w:rFonts w:eastAsia="仿宋_GB2312"/>
                <w:sz w:val="24"/>
              </w:rPr>
            </w:pPr>
            <w:r>
              <w:rPr>
                <w:rFonts w:eastAsia="仿宋_GB2312" w:hint="eastAsia"/>
                <w:sz w:val="24"/>
              </w:rPr>
              <w:t>员</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姓名（签名）</w:t>
            </w:r>
          </w:p>
        </w:tc>
        <w:tc>
          <w:tcPr>
            <w:tcW w:w="453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单位</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职务</w:t>
            </w:r>
          </w:p>
        </w:tc>
        <w:tc>
          <w:tcPr>
            <w:tcW w:w="2977"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核查分工</w:t>
            </w:r>
          </w:p>
        </w:tc>
        <w:tc>
          <w:tcPr>
            <w:tcW w:w="1985"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核查员证书编号</w:t>
            </w:r>
          </w:p>
        </w:tc>
      </w:tr>
      <w:tr w:rsidR="007B665D" w:rsidTr="007B665D">
        <w:trPr>
          <w:cantSplit/>
          <w:trHeight w:val="7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组长</w:t>
            </w:r>
          </w:p>
        </w:tc>
        <w:tc>
          <w:tcPr>
            <w:tcW w:w="2977"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r>
      <w:tr w:rsidR="007B665D" w:rsidTr="007B665D">
        <w:trPr>
          <w:cantSplit/>
          <w:trHeight w:val="7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组员</w:t>
            </w:r>
          </w:p>
        </w:tc>
        <w:tc>
          <w:tcPr>
            <w:tcW w:w="2977"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r>
      <w:tr w:rsidR="007B665D" w:rsidTr="007B665D">
        <w:trPr>
          <w:cantSplit/>
          <w:trHeight w:val="7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B665D" w:rsidRDefault="007B665D">
            <w:pPr>
              <w:spacing w:line="400" w:lineRule="exact"/>
              <w:jc w:val="center"/>
              <w:rPr>
                <w:rFonts w:eastAsia="仿宋_GB2312"/>
                <w:sz w:val="24"/>
              </w:rPr>
            </w:pPr>
            <w:r>
              <w:rPr>
                <w:rFonts w:eastAsia="仿宋_GB2312" w:hint="eastAsia"/>
                <w:sz w:val="24"/>
              </w:rPr>
              <w:t>组员</w:t>
            </w:r>
          </w:p>
        </w:tc>
        <w:tc>
          <w:tcPr>
            <w:tcW w:w="2977"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r>
      <w:tr w:rsidR="007B665D" w:rsidTr="007B665D">
        <w:trPr>
          <w:cantSplit/>
          <w:trHeight w:val="7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tcPr>
          <w:p w:rsidR="007B665D" w:rsidRDefault="007B665D">
            <w:pPr>
              <w:spacing w:line="400" w:lineRule="exact"/>
              <w:jc w:val="center"/>
              <w:rPr>
                <w:rFonts w:eastAsia="仿宋_GB2312"/>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r>
      <w:tr w:rsidR="007B665D" w:rsidTr="007B665D">
        <w:trPr>
          <w:cantSplit/>
          <w:trHeight w:val="7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tcPr>
          <w:p w:rsidR="007B665D" w:rsidRDefault="007B665D">
            <w:pPr>
              <w:spacing w:line="400" w:lineRule="exact"/>
              <w:jc w:val="center"/>
              <w:rPr>
                <w:rFonts w:eastAsia="仿宋_GB2312"/>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r>
      <w:tr w:rsidR="007B665D" w:rsidTr="007B665D">
        <w:trPr>
          <w:cantSplit/>
          <w:trHeight w:val="73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7B665D" w:rsidRDefault="007B665D">
            <w:pPr>
              <w:spacing w:line="400" w:lineRule="exact"/>
              <w:jc w:val="center"/>
              <w:rPr>
                <w:rFonts w:eastAsia="仿宋_GB2312"/>
                <w:sz w:val="24"/>
              </w:rPr>
            </w:pPr>
          </w:p>
        </w:tc>
      </w:tr>
    </w:tbl>
    <w:p w:rsidR="007B665D" w:rsidRDefault="007B665D" w:rsidP="007B665D">
      <w:pPr>
        <w:spacing w:line="600" w:lineRule="exact"/>
        <w:jc w:val="center"/>
        <w:rPr>
          <w:rFonts w:ascii="方正小标宋简体" w:eastAsia="方正小标宋简体" w:cs="方正小标宋简体"/>
          <w:sz w:val="36"/>
          <w:szCs w:val="36"/>
        </w:rPr>
      </w:pPr>
      <w:r>
        <w:rPr>
          <w:rFonts w:ascii="方正小标宋简体" w:eastAsia="方正小标宋简体" w:cs="方正小标宋简体" w:hint="eastAsia"/>
          <w:sz w:val="36"/>
          <w:szCs w:val="36"/>
        </w:rPr>
        <w:br w:type="page"/>
      </w:r>
    </w:p>
    <w:p w:rsidR="007B665D" w:rsidRDefault="007B665D" w:rsidP="007B665D">
      <w:pPr>
        <w:spacing w:line="60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lastRenderedPageBreak/>
        <w:t>使用说明</w:t>
      </w:r>
    </w:p>
    <w:p w:rsidR="007B665D" w:rsidRDefault="007B665D" w:rsidP="007B665D">
      <w:pPr>
        <w:spacing w:line="480" w:lineRule="exact"/>
        <w:rPr>
          <w:rFonts w:ascii="方正仿宋简体" w:eastAsia="方正仿宋简体"/>
          <w:sz w:val="24"/>
        </w:rPr>
      </w:pPr>
    </w:p>
    <w:p w:rsidR="007B665D" w:rsidRDefault="007B665D" w:rsidP="007B665D">
      <w:pPr>
        <w:spacing w:line="480" w:lineRule="exact"/>
        <w:ind w:firstLineChars="200" w:firstLine="560"/>
        <w:rPr>
          <w:rFonts w:eastAsia="仿宋_GB2312"/>
          <w:sz w:val="28"/>
          <w:szCs w:val="28"/>
        </w:rPr>
      </w:pPr>
      <w:r>
        <w:rPr>
          <w:rFonts w:eastAsia="仿宋_GB2312"/>
          <w:sz w:val="28"/>
          <w:szCs w:val="28"/>
        </w:rPr>
        <w:t>1.</w:t>
      </w:r>
      <w:r>
        <w:rPr>
          <w:rFonts w:eastAsia="仿宋_GB2312" w:hint="eastAsia"/>
          <w:sz w:val="28"/>
          <w:szCs w:val="28"/>
        </w:rPr>
        <w:t>本记录表依据《中华人民共和国食品安全法》《食品生产许可管理办法》等法律法规、部门规章以及相关食品安全国家标准的要求制定。</w:t>
      </w:r>
    </w:p>
    <w:p w:rsidR="007B665D" w:rsidRDefault="007B665D" w:rsidP="007B665D">
      <w:pPr>
        <w:spacing w:line="480" w:lineRule="exact"/>
        <w:ind w:firstLineChars="200" w:firstLine="560"/>
        <w:rPr>
          <w:rFonts w:eastAsia="仿宋_GB2312"/>
          <w:sz w:val="28"/>
          <w:szCs w:val="28"/>
        </w:rPr>
      </w:pPr>
      <w:r>
        <w:rPr>
          <w:rFonts w:eastAsia="仿宋_GB2312"/>
          <w:sz w:val="28"/>
          <w:szCs w:val="28"/>
        </w:rPr>
        <w:t>2.</w:t>
      </w:r>
      <w:r>
        <w:rPr>
          <w:rFonts w:eastAsia="仿宋_GB2312" w:hint="eastAsia"/>
          <w:sz w:val="28"/>
          <w:szCs w:val="28"/>
        </w:rPr>
        <w:t>本记录表应当结合相关食品生产许可审查细则要求使用。</w:t>
      </w:r>
    </w:p>
    <w:p w:rsidR="007B665D" w:rsidRDefault="007B665D" w:rsidP="007B665D">
      <w:pPr>
        <w:spacing w:line="48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本记录表包括生产场所（</w:t>
      </w:r>
      <w:r>
        <w:rPr>
          <w:rFonts w:eastAsia="仿宋_GB2312"/>
          <w:sz w:val="28"/>
          <w:szCs w:val="28"/>
        </w:rPr>
        <w:t>24</w:t>
      </w:r>
      <w:r>
        <w:rPr>
          <w:rFonts w:eastAsia="仿宋_GB2312" w:hint="eastAsia"/>
          <w:sz w:val="28"/>
          <w:szCs w:val="28"/>
        </w:rPr>
        <w:t>分）、设备设施（</w:t>
      </w:r>
      <w:r>
        <w:rPr>
          <w:rFonts w:eastAsia="仿宋_GB2312"/>
          <w:sz w:val="28"/>
          <w:szCs w:val="28"/>
        </w:rPr>
        <w:t>33</w:t>
      </w:r>
      <w:r>
        <w:rPr>
          <w:rFonts w:eastAsia="仿宋_GB2312" w:hint="eastAsia"/>
          <w:sz w:val="28"/>
          <w:szCs w:val="28"/>
        </w:rPr>
        <w:t>分）、设备布局和工艺流程（</w:t>
      </w:r>
      <w:r>
        <w:rPr>
          <w:rFonts w:eastAsia="仿宋_GB2312"/>
          <w:sz w:val="28"/>
          <w:szCs w:val="28"/>
        </w:rPr>
        <w:t>9</w:t>
      </w:r>
      <w:r>
        <w:rPr>
          <w:rFonts w:eastAsia="仿宋_GB2312" w:hint="eastAsia"/>
          <w:sz w:val="28"/>
          <w:szCs w:val="28"/>
        </w:rPr>
        <w:t>分）、人员管理（</w:t>
      </w:r>
      <w:r>
        <w:rPr>
          <w:rFonts w:eastAsia="仿宋_GB2312"/>
          <w:sz w:val="28"/>
          <w:szCs w:val="28"/>
        </w:rPr>
        <w:t>9</w:t>
      </w:r>
      <w:r>
        <w:rPr>
          <w:rFonts w:eastAsia="仿宋_GB2312" w:hint="eastAsia"/>
          <w:sz w:val="28"/>
          <w:szCs w:val="28"/>
        </w:rPr>
        <w:t>分）、管理制度（</w:t>
      </w:r>
      <w:r>
        <w:rPr>
          <w:rFonts w:eastAsia="仿宋_GB2312"/>
          <w:sz w:val="28"/>
          <w:szCs w:val="28"/>
        </w:rPr>
        <w:t>24</w:t>
      </w:r>
      <w:r>
        <w:rPr>
          <w:rFonts w:eastAsia="仿宋_GB2312" w:hint="eastAsia"/>
          <w:sz w:val="28"/>
          <w:szCs w:val="28"/>
        </w:rPr>
        <w:t>分）以及试制产品检验合格报告（</w:t>
      </w:r>
      <w:r>
        <w:rPr>
          <w:rFonts w:eastAsia="仿宋_GB2312"/>
          <w:sz w:val="28"/>
          <w:szCs w:val="28"/>
        </w:rPr>
        <w:t>1</w:t>
      </w:r>
      <w:r>
        <w:rPr>
          <w:rFonts w:eastAsia="仿宋_GB2312" w:hint="eastAsia"/>
          <w:sz w:val="28"/>
          <w:szCs w:val="28"/>
        </w:rPr>
        <w:t>分）等六部分，共</w:t>
      </w:r>
      <w:r>
        <w:rPr>
          <w:rFonts w:eastAsia="仿宋_GB2312"/>
          <w:sz w:val="28"/>
          <w:szCs w:val="28"/>
        </w:rPr>
        <w:t>34</w:t>
      </w:r>
      <w:r>
        <w:rPr>
          <w:rFonts w:eastAsia="仿宋_GB2312" w:hint="eastAsia"/>
          <w:sz w:val="28"/>
          <w:szCs w:val="28"/>
        </w:rPr>
        <w:t>个核查项目。</w:t>
      </w:r>
    </w:p>
    <w:p w:rsidR="007B665D" w:rsidRDefault="007B665D" w:rsidP="007B665D">
      <w:pPr>
        <w:spacing w:line="48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核查组应当按照核查项目规定的</w:t>
      </w:r>
      <w:r>
        <w:rPr>
          <w:rFonts w:eastAsia="仿宋_GB2312"/>
          <w:sz w:val="28"/>
          <w:szCs w:val="28"/>
        </w:rPr>
        <w:t>“</w:t>
      </w:r>
      <w:r>
        <w:rPr>
          <w:rFonts w:eastAsia="仿宋_GB2312" w:hint="eastAsia"/>
          <w:sz w:val="28"/>
          <w:szCs w:val="28"/>
        </w:rPr>
        <w:t>核查内容</w:t>
      </w:r>
      <w:r>
        <w:rPr>
          <w:rFonts w:eastAsia="仿宋_GB2312"/>
          <w:sz w:val="28"/>
          <w:szCs w:val="28"/>
        </w:rPr>
        <w:t>”“</w:t>
      </w:r>
      <w:r>
        <w:rPr>
          <w:rFonts w:eastAsia="仿宋_GB2312" w:hint="eastAsia"/>
          <w:sz w:val="28"/>
          <w:szCs w:val="28"/>
        </w:rPr>
        <w:t>评分标准</w:t>
      </w:r>
      <w:r>
        <w:rPr>
          <w:rFonts w:eastAsia="仿宋_GB2312"/>
          <w:sz w:val="28"/>
          <w:szCs w:val="28"/>
        </w:rPr>
        <w:t>”</w:t>
      </w:r>
      <w:r>
        <w:rPr>
          <w:rFonts w:eastAsia="仿宋_GB2312" w:hint="eastAsia"/>
          <w:sz w:val="28"/>
          <w:szCs w:val="28"/>
        </w:rPr>
        <w:t>进行核查与评分，并将发现的问题具体详实地记录在</w:t>
      </w:r>
      <w:r>
        <w:rPr>
          <w:rFonts w:eastAsia="仿宋_GB2312"/>
          <w:sz w:val="28"/>
          <w:szCs w:val="28"/>
        </w:rPr>
        <w:t>“</w:t>
      </w:r>
      <w:r>
        <w:rPr>
          <w:rFonts w:eastAsia="仿宋_GB2312" w:hint="eastAsia"/>
          <w:sz w:val="28"/>
          <w:szCs w:val="28"/>
        </w:rPr>
        <w:t>核查记录</w:t>
      </w:r>
      <w:r>
        <w:rPr>
          <w:rFonts w:eastAsia="仿宋_GB2312"/>
          <w:sz w:val="28"/>
          <w:szCs w:val="28"/>
        </w:rPr>
        <w:t>”</w:t>
      </w:r>
      <w:r>
        <w:rPr>
          <w:rFonts w:eastAsia="仿宋_GB2312" w:hint="eastAsia"/>
          <w:sz w:val="28"/>
          <w:szCs w:val="28"/>
        </w:rPr>
        <w:t>栏目中。</w:t>
      </w:r>
    </w:p>
    <w:p w:rsidR="007B665D" w:rsidRDefault="007B665D" w:rsidP="007B665D">
      <w:pPr>
        <w:spacing w:line="480" w:lineRule="exact"/>
        <w:ind w:firstLineChars="200" w:firstLine="560"/>
        <w:rPr>
          <w:rFonts w:eastAsia="仿宋_GB2312"/>
          <w:sz w:val="28"/>
          <w:szCs w:val="28"/>
        </w:rPr>
      </w:pPr>
      <w:r>
        <w:rPr>
          <w:rFonts w:eastAsia="仿宋_GB2312"/>
          <w:sz w:val="28"/>
          <w:szCs w:val="28"/>
        </w:rPr>
        <w:t>5.</w:t>
      </w:r>
      <w:r>
        <w:rPr>
          <w:rFonts w:eastAsia="仿宋_GB2312" w:hint="eastAsia"/>
          <w:sz w:val="28"/>
          <w:szCs w:val="28"/>
        </w:rPr>
        <w:t>现场核查结论判定原则：核查项目单项得分无</w:t>
      </w:r>
      <w:r>
        <w:rPr>
          <w:rFonts w:eastAsia="仿宋_GB2312"/>
          <w:sz w:val="28"/>
          <w:szCs w:val="28"/>
        </w:rPr>
        <w:t>0</w:t>
      </w:r>
      <w:r>
        <w:rPr>
          <w:rFonts w:eastAsia="仿宋_GB2312" w:hint="eastAsia"/>
          <w:sz w:val="28"/>
          <w:szCs w:val="28"/>
        </w:rPr>
        <w:t>分且总得分率</w:t>
      </w:r>
      <w:r>
        <w:rPr>
          <w:rFonts w:eastAsia="仿宋_GB2312"/>
          <w:sz w:val="28"/>
          <w:szCs w:val="28"/>
        </w:rPr>
        <w:t>≥85%</w:t>
      </w:r>
      <w:r>
        <w:rPr>
          <w:rFonts w:eastAsia="仿宋_GB2312" w:hint="eastAsia"/>
          <w:sz w:val="28"/>
          <w:szCs w:val="28"/>
        </w:rPr>
        <w:t>的，该食品类别及品种明细判定为通过现场核查。</w:t>
      </w:r>
    </w:p>
    <w:p w:rsidR="007B665D" w:rsidRDefault="007B665D" w:rsidP="007B665D">
      <w:pPr>
        <w:spacing w:line="480" w:lineRule="exact"/>
        <w:rPr>
          <w:rFonts w:eastAsia="仿宋_GB2312"/>
          <w:sz w:val="28"/>
          <w:szCs w:val="28"/>
        </w:rPr>
      </w:pPr>
      <w:r>
        <w:rPr>
          <w:rFonts w:eastAsia="仿宋_GB2312" w:hint="eastAsia"/>
          <w:sz w:val="28"/>
          <w:szCs w:val="28"/>
        </w:rPr>
        <w:t>当出现以下两种情况之一时，该食品类别及品种明细判定为未通过现场核查：</w:t>
      </w:r>
    </w:p>
    <w:p w:rsidR="007B665D" w:rsidRDefault="007B665D" w:rsidP="007B665D">
      <w:pPr>
        <w:spacing w:line="480" w:lineRule="exact"/>
        <w:ind w:firstLineChars="200" w:firstLine="560"/>
        <w:rPr>
          <w:rFonts w:eastAsia="仿宋_GB2312"/>
          <w:sz w:val="28"/>
          <w:szCs w:val="28"/>
        </w:rPr>
      </w:pPr>
      <w:r>
        <w:rPr>
          <w:rFonts w:eastAsia="仿宋_GB2312" w:hint="eastAsia"/>
          <w:sz w:val="28"/>
          <w:szCs w:val="28"/>
        </w:rPr>
        <w:t>（</w:t>
      </w:r>
      <w:r>
        <w:rPr>
          <w:rFonts w:eastAsia="仿宋_GB2312"/>
          <w:sz w:val="28"/>
          <w:szCs w:val="28"/>
        </w:rPr>
        <w:t>1</w:t>
      </w:r>
      <w:r>
        <w:rPr>
          <w:rFonts w:eastAsia="仿宋_GB2312" w:hint="eastAsia"/>
          <w:sz w:val="28"/>
          <w:szCs w:val="28"/>
        </w:rPr>
        <w:t>）有一项及以上核查项目得</w:t>
      </w:r>
      <w:r>
        <w:rPr>
          <w:rFonts w:eastAsia="仿宋_GB2312"/>
          <w:sz w:val="28"/>
          <w:szCs w:val="28"/>
        </w:rPr>
        <w:t>0</w:t>
      </w:r>
      <w:r>
        <w:rPr>
          <w:rFonts w:eastAsia="仿宋_GB2312" w:hint="eastAsia"/>
          <w:sz w:val="28"/>
          <w:szCs w:val="28"/>
        </w:rPr>
        <w:t>分的；</w:t>
      </w:r>
    </w:p>
    <w:p w:rsidR="007B665D" w:rsidRDefault="007B665D" w:rsidP="007B665D">
      <w:pPr>
        <w:spacing w:line="480" w:lineRule="exact"/>
        <w:ind w:firstLineChars="200" w:firstLine="560"/>
        <w:rPr>
          <w:rFonts w:eastAsia="仿宋_GB2312"/>
          <w:sz w:val="28"/>
          <w:szCs w:val="28"/>
        </w:rPr>
      </w:pPr>
      <w:r>
        <w:rPr>
          <w:rFonts w:eastAsia="仿宋_GB2312" w:hint="eastAsia"/>
          <w:sz w:val="28"/>
          <w:szCs w:val="28"/>
        </w:rPr>
        <w:t>（</w:t>
      </w:r>
      <w:r>
        <w:rPr>
          <w:rFonts w:eastAsia="仿宋_GB2312"/>
          <w:sz w:val="28"/>
          <w:szCs w:val="28"/>
        </w:rPr>
        <w:t>2</w:t>
      </w:r>
      <w:r>
        <w:rPr>
          <w:rFonts w:eastAsia="仿宋_GB2312" w:hint="eastAsia"/>
          <w:sz w:val="28"/>
          <w:szCs w:val="28"/>
        </w:rPr>
        <w:t>）核查项目总得分率＜</w:t>
      </w:r>
      <w:r>
        <w:rPr>
          <w:rFonts w:eastAsia="仿宋_GB2312"/>
          <w:sz w:val="28"/>
          <w:szCs w:val="28"/>
        </w:rPr>
        <w:t>85%</w:t>
      </w:r>
      <w:r>
        <w:rPr>
          <w:rFonts w:eastAsia="仿宋_GB2312" w:hint="eastAsia"/>
          <w:sz w:val="28"/>
          <w:szCs w:val="28"/>
        </w:rPr>
        <w:t>的。</w:t>
      </w:r>
    </w:p>
    <w:p w:rsidR="007B665D" w:rsidRDefault="007B665D" w:rsidP="000F38EE">
      <w:pPr>
        <w:spacing w:beforeLines="100" w:afterLines="50" w:line="400" w:lineRule="exact"/>
        <w:ind w:firstLineChars="200" w:firstLine="560"/>
        <w:outlineLvl w:val="0"/>
        <w:rPr>
          <w:rFonts w:ascii="方正仿宋简体" w:eastAsia="方正仿宋简体" w:hAnsi="宋体"/>
          <w:sz w:val="24"/>
        </w:rPr>
      </w:pPr>
      <w:r>
        <w:rPr>
          <w:rFonts w:eastAsia="仿宋_GB2312"/>
          <w:sz w:val="28"/>
          <w:szCs w:val="28"/>
        </w:rPr>
        <w:t>6.</w:t>
      </w:r>
      <w:r>
        <w:rPr>
          <w:rFonts w:eastAsia="仿宋_GB2312" w:hint="eastAsia"/>
          <w:sz w:val="28"/>
          <w:szCs w:val="28"/>
        </w:rPr>
        <w:t>当某个核查项目不适用时，不参与评分，并在</w:t>
      </w:r>
      <w:r>
        <w:rPr>
          <w:rFonts w:eastAsia="仿宋_GB2312"/>
          <w:sz w:val="28"/>
          <w:szCs w:val="28"/>
        </w:rPr>
        <w:t>“</w:t>
      </w:r>
      <w:r>
        <w:rPr>
          <w:rFonts w:eastAsia="仿宋_GB2312" w:hint="eastAsia"/>
          <w:sz w:val="28"/>
          <w:szCs w:val="28"/>
        </w:rPr>
        <w:t>核查记录</w:t>
      </w:r>
      <w:r>
        <w:rPr>
          <w:rFonts w:eastAsia="仿宋_GB2312"/>
          <w:sz w:val="28"/>
          <w:szCs w:val="28"/>
        </w:rPr>
        <w:t>”</w:t>
      </w:r>
      <w:r>
        <w:rPr>
          <w:rFonts w:eastAsia="仿宋_GB2312" w:hint="eastAsia"/>
          <w:sz w:val="28"/>
          <w:szCs w:val="28"/>
        </w:rPr>
        <w:t>栏目中说明不适用的原因。</w:t>
      </w:r>
    </w:p>
    <w:p w:rsidR="007B665D" w:rsidRDefault="007B665D" w:rsidP="000F38EE">
      <w:pPr>
        <w:spacing w:beforeLines="100" w:afterLines="50" w:line="400" w:lineRule="exact"/>
        <w:ind w:firstLineChars="200" w:firstLine="480"/>
        <w:jc w:val="center"/>
        <w:outlineLvl w:val="0"/>
        <w:rPr>
          <w:rFonts w:eastAsia="黑体"/>
          <w:sz w:val="32"/>
          <w:szCs w:val="32"/>
        </w:rPr>
      </w:pPr>
      <w:r>
        <w:rPr>
          <w:rFonts w:ascii="方正仿宋简体" w:eastAsia="方正仿宋简体" w:hAnsi="宋体" w:hint="eastAsia"/>
          <w:sz w:val="24"/>
        </w:rPr>
        <w:br w:type="page"/>
      </w:r>
      <w:r>
        <w:rPr>
          <w:rFonts w:eastAsia="黑体" w:hint="eastAsia"/>
          <w:sz w:val="32"/>
          <w:szCs w:val="32"/>
        </w:rPr>
        <w:lastRenderedPageBreak/>
        <w:t>一、生产场所（共</w:t>
      </w:r>
      <w:r>
        <w:rPr>
          <w:rFonts w:eastAsia="黑体"/>
          <w:sz w:val="32"/>
          <w:szCs w:val="32"/>
        </w:rPr>
        <w:t>24</w:t>
      </w:r>
      <w:r>
        <w:rPr>
          <w:rFonts w:eastAsia="黑体" w:hint="eastAsia"/>
          <w:sz w:val="32"/>
          <w:szCs w:val="32"/>
        </w:rPr>
        <w:t>分）</w:t>
      </w:r>
    </w:p>
    <w:tbl>
      <w:tblPr>
        <w:tblW w:w="13482" w:type="dxa"/>
        <w:tblInd w:w="93" w:type="dxa"/>
        <w:tblLook w:val="00A0"/>
      </w:tblPr>
      <w:tblGrid>
        <w:gridCol w:w="724"/>
        <w:gridCol w:w="1418"/>
        <w:gridCol w:w="3969"/>
        <w:gridCol w:w="2976"/>
        <w:gridCol w:w="426"/>
        <w:gridCol w:w="1275"/>
        <w:gridCol w:w="2694"/>
      </w:tblGrid>
      <w:tr w:rsidR="007B665D" w:rsidTr="007B665D">
        <w:trPr>
          <w:cantSplit/>
          <w:trHeight w:val="20"/>
          <w:tblHeader/>
        </w:trPr>
        <w:tc>
          <w:tcPr>
            <w:tcW w:w="724"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序号</w:t>
            </w:r>
          </w:p>
        </w:tc>
        <w:tc>
          <w:tcPr>
            <w:tcW w:w="1418"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核查项目</w:t>
            </w:r>
          </w:p>
        </w:tc>
        <w:tc>
          <w:tcPr>
            <w:tcW w:w="3969"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核查内容</w:t>
            </w:r>
          </w:p>
        </w:tc>
        <w:tc>
          <w:tcPr>
            <w:tcW w:w="3402" w:type="dxa"/>
            <w:gridSpan w:val="2"/>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评分标准</w:t>
            </w:r>
          </w:p>
        </w:tc>
        <w:tc>
          <w:tcPr>
            <w:tcW w:w="1275"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核查得分</w:t>
            </w:r>
          </w:p>
        </w:tc>
        <w:tc>
          <w:tcPr>
            <w:tcW w:w="2694"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核查记录</w:t>
            </w:r>
          </w:p>
        </w:tc>
      </w:tr>
      <w:tr w:rsidR="007B665D" w:rsidTr="007B665D">
        <w:trPr>
          <w:cantSplit/>
          <w:trHeight w:val="448"/>
        </w:trPr>
        <w:tc>
          <w:tcPr>
            <w:tcW w:w="724"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1.1</w:t>
            </w:r>
          </w:p>
        </w:tc>
        <w:tc>
          <w:tcPr>
            <w:tcW w:w="141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厂区要求</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r>
              <w:rPr>
                <w:rFonts w:eastAsia="仿宋_GB2312"/>
                <w:kern w:val="0"/>
                <w:sz w:val="24"/>
              </w:rPr>
              <w:t>1.</w:t>
            </w:r>
            <w:r>
              <w:rPr>
                <w:rFonts w:eastAsia="仿宋_GB2312" w:hint="eastAsia"/>
                <w:kern w:val="0"/>
                <w:sz w:val="24"/>
              </w:rPr>
              <w:t>保持生产场所环境整洁，周围无虫害大量孳生的潜在场所，无有害废弃物以及粉尘、有害气体、放射性物质和其他扩散性污染源。各类污染源难以避开时应</w:t>
            </w:r>
            <w:r>
              <w:rPr>
                <w:rFonts w:eastAsia="仿宋_GB2312" w:hint="eastAsia"/>
                <w:sz w:val="24"/>
              </w:rPr>
              <w:t>当</w:t>
            </w:r>
            <w:r>
              <w:rPr>
                <w:rFonts w:eastAsia="仿宋_GB2312" w:hint="eastAsia"/>
                <w:kern w:val="0"/>
                <w:sz w:val="24"/>
              </w:rPr>
              <w:t>有必要的防范措施，能有效清除污染源造成的影响。</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836"/>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有污染源防范措施，但个别防范措施效果不明显。</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131"/>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无污染源防范措施，或者污染源防范措施无明显效果。</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66"/>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r>
              <w:rPr>
                <w:rFonts w:eastAsia="仿宋_GB2312"/>
                <w:kern w:val="0"/>
                <w:sz w:val="24"/>
              </w:rPr>
              <w:t>2.</w:t>
            </w:r>
            <w:r>
              <w:rPr>
                <w:rFonts w:eastAsia="仿宋_GB2312" w:hint="eastAsia"/>
                <w:kern w:val="0"/>
                <w:sz w:val="24"/>
              </w:rPr>
              <w:t>厂区布局合理，各功能区划分明显。生活区与生产区保持适当距离或分隔，防止交叉污染。</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1256"/>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厂区布局基本合理，生活区与生产区相距较近或分隔不彻底。</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260"/>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厂区布局不合理，或者生活区与生产区紧邻且未分隔，或者存在交叉污染。</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55"/>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r>
              <w:rPr>
                <w:rFonts w:eastAsia="仿宋_GB2312"/>
                <w:kern w:val="0"/>
                <w:sz w:val="24"/>
              </w:rPr>
              <w:t>3.</w:t>
            </w:r>
            <w:r>
              <w:rPr>
                <w:rFonts w:eastAsia="仿宋_GB2312" w:hint="eastAsia"/>
                <w:kern w:val="0"/>
                <w:sz w:val="24"/>
              </w:rPr>
              <w:t>厂区道路应</w:t>
            </w:r>
            <w:r>
              <w:rPr>
                <w:rFonts w:eastAsia="仿宋_GB2312" w:hint="eastAsia"/>
                <w:sz w:val="24"/>
              </w:rPr>
              <w:t>当</w:t>
            </w:r>
            <w:r>
              <w:rPr>
                <w:rFonts w:eastAsia="仿宋_GB2312" w:hint="eastAsia"/>
                <w:kern w:val="0"/>
                <w:sz w:val="24"/>
              </w:rPr>
              <w:t>采用硬质材料铺设，厂区无扬尘或积水现象。厂区绿化应</w:t>
            </w:r>
            <w:r>
              <w:rPr>
                <w:rFonts w:eastAsia="仿宋_GB2312" w:hint="eastAsia"/>
                <w:sz w:val="24"/>
              </w:rPr>
              <w:t>当</w:t>
            </w:r>
            <w:r>
              <w:rPr>
                <w:rFonts w:eastAsia="仿宋_GB2312" w:hint="eastAsia"/>
                <w:kern w:val="0"/>
                <w:sz w:val="24"/>
              </w:rPr>
              <w:t>与生产车间保持适当距离，植被应</w:t>
            </w:r>
            <w:r>
              <w:rPr>
                <w:rFonts w:eastAsia="仿宋_GB2312" w:hint="eastAsia"/>
                <w:sz w:val="24"/>
              </w:rPr>
              <w:t>当</w:t>
            </w:r>
            <w:r>
              <w:rPr>
                <w:rFonts w:eastAsia="仿宋_GB2312" w:hint="eastAsia"/>
                <w:kern w:val="0"/>
                <w:sz w:val="24"/>
              </w:rPr>
              <w:t>定期维护，防止虫害孳生。</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419"/>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厂区环境略有不足。</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695"/>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厂区环境不符合规定要求。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666"/>
        </w:trPr>
        <w:tc>
          <w:tcPr>
            <w:tcW w:w="724"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lastRenderedPageBreak/>
              <w:t>1.2</w:t>
            </w:r>
          </w:p>
        </w:tc>
        <w:tc>
          <w:tcPr>
            <w:tcW w:w="141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厂房和车间</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1.</w:t>
            </w:r>
            <w:r>
              <w:rPr>
                <w:rFonts w:eastAsia="仿宋_GB2312" w:hint="eastAsia"/>
                <w:kern w:val="0"/>
                <w:sz w:val="24"/>
              </w:rPr>
              <w:t>应</w:t>
            </w:r>
            <w:r>
              <w:rPr>
                <w:rFonts w:eastAsia="仿宋_GB2312" w:hint="eastAsia"/>
                <w:sz w:val="24"/>
              </w:rPr>
              <w:t>当</w:t>
            </w:r>
            <w:r>
              <w:rPr>
                <w:rFonts w:eastAsia="仿宋_GB2312" w:hint="eastAsia"/>
                <w:kern w:val="0"/>
                <w:sz w:val="24"/>
              </w:rPr>
              <w:t>具有与生产的产品品种、数量相适应的厂房和车间，并根据生产工艺及清洁程度的要求合理布局和划分作业区，避免交叉污染；厂房内设置的检验室应</w:t>
            </w:r>
            <w:r>
              <w:rPr>
                <w:rFonts w:eastAsia="仿宋_GB2312" w:hint="eastAsia"/>
                <w:sz w:val="24"/>
              </w:rPr>
              <w:t>当</w:t>
            </w:r>
            <w:r>
              <w:rPr>
                <w:rFonts w:eastAsia="仿宋_GB2312" w:hint="eastAsia"/>
                <w:kern w:val="0"/>
                <w:sz w:val="24"/>
              </w:rPr>
              <w:t>与生产区域分隔。</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1115"/>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个别作业区布局和划分不太合理。</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837"/>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厂房面积与空间不满足生产需求，或者各作业区布局和划分不合理，或者检验室未与生产区域分隔。</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828"/>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2.</w:t>
            </w:r>
            <w:r>
              <w:rPr>
                <w:rFonts w:eastAsia="仿宋_GB2312" w:hint="eastAsia"/>
                <w:kern w:val="0"/>
                <w:sz w:val="24"/>
              </w:rPr>
              <w:t>车间保持清洁，顶棚、墙壁和地面应</w:t>
            </w:r>
            <w:r>
              <w:rPr>
                <w:rFonts w:eastAsia="仿宋_GB2312" w:hint="eastAsia"/>
                <w:sz w:val="24"/>
              </w:rPr>
              <w:t>当</w:t>
            </w:r>
            <w:r>
              <w:rPr>
                <w:rFonts w:eastAsia="仿宋_GB2312" w:hint="eastAsia"/>
                <w:kern w:val="0"/>
                <w:sz w:val="24"/>
              </w:rPr>
              <w:t>采用无毒、无味、防渗透、防霉、不易破损脱落的材料建造，易于清洁；顶棚在结构上</w:t>
            </w:r>
            <w:r>
              <w:rPr>
                <w:rFonts w:eastAsia="仿宋_GB2312" w:hint="eastAsia"/>
                <w:sz w:val="24"/>
              </w:rPr>
              <w:t>不利于</w:t>
            </w:r>
            <w:r>
              <w:rPr>
                <w:rFonts w:eastAsia="仿宋_GB2312" w:hint="eastAsia"/>
                <w:kern w:val="0"/>
                <w:sz w:val="24"/>
              </w:rPr>
              <w:t>冷凝水垂直滴落，裸露食品上方的管路应</w:t>
            </w:r>
            <w:r>
              <w:rPr>
                <w:rFonts w:eastAsia="仿宋_GB2312" w:hint="eastAsia"/>
                <w:sz w:val="24"/>
              </w:rPr>
              <w:t>当</w:t>
            </w:r>
            <w:r>
              <w:rPr>
                <w:rFonts w:eastAsia="仿宋_GB2312" w:hint="eastAsia"/>
                <w:kern w:val="0"/>
                <w:sz w:val="24"/>
              </w:rPr>
              <w:t>有防止灰尘散落及水滴掉落的措施；门窗应</w:t>
            </w:r>
            <w:r>
              <w:rPr>
                <w:rFonts w:eastAsia="仿宋_GB2312" w:hint="eastAsia"/>
                <w:sz w:val="24"/>
              </w:rPr>
              <w:t>当</w:t>
            </w:r>
            <w:r>
              <w:rPr>
                <w:rFonts w:eastAsia="仿宋_GB2312" w:hint="eastAsia"/>
                <w:kern w:val="0"/>
                <w:sz w:val="24"/>
              </w:rPr>
              <w:t>闭合严密，不透水、不变形，并有防止虫害侵入的措施。</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1705"/>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车间清洁程度以及顶棚、墙壁、地面和门窗或者相关防护措施略有不足。</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699"/>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严重不符合规定要求。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666"/>
        </w:trPr>
        <w:tc>
          <w:tcPr>
            <w:tcW w:w="724"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lastRenderedPageBreak/>
              <w:t>1.3</w:t>
            </w:r>
          </w:p>
        </w:tc>
        <w:tc>
          <w:tcPr>
            <w:tcW w:w="141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库房要求</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1.</w:t>
            </w:r>
            <w:r>
              <w:rPr>
                <w:rFonts w:eastAsia="仿宋_GB2312" w:hint="eastAsia"/>
                <w:kern w:val="0"/>
                <w:sz w:val="24"/>
              </w:rPr>
              <w:t>库房整洁，地面平整，易于维护、清洁，防止虫害侵入和藏匿。必要时库房应</w:t>
            </w:r>
            <w:r>
              <w:rPr>
                <w:rFonts w:eastAsia="仿宋_GB2312" w:hint="eastAsia"/>
                <w:sz w:val="24"/>
              </w:rPr>
              <w:t>当</w:t>
            </w:r>
            <w:r>
              <w:rPr>
                <w:rFonts w:eastAsia="仿宋_GB2312" w:hint="eastAsia"/>
                <w:kern w:val="0"/>
                <w:sz w:val="24"/>
              </w:rPr>
              <w:t>设置相适应的温度、湿度控制等设施。</w:t>
            </w:r>
          </w:p>
        </w:tc>
        <w:tc>
          <w:tcPr>
            <w:tcW w:w="2976" w:type="dxa"/>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973"/>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库房整洁程度或者相关设施略有不足。</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703"/>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严重不符合规定要求。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699"/>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2.</w:t>
            </w:r>
            <w:r>
              <w:rPr>
                <w:rFonts w:eastAsia="仿宋_GB2312" w:hint="eastAsia"/>
                <w:kern w:val="0"/>
                <w:sz w:val="24"/>
              </w:rPr>
              <w:t>原辅料、半成品、成品等物料应当依据性质的不同分设库房或分区存放。清洁剂、消毒剂、杀虫剂、润滑剂、燃料等物料应当与原辅料、半成品、成品等物料分隔放置。库房内的物料应</w:t>
            </w:r>
            <w:r>
              <w:rPr>
                <w:rFonts w:eastAsia="仿宋_GB2312" w:hint="eastAsia"/>
                <w:sz w:val="24"/>
              </w:rPr>
              <w:t>当</w:t>
            </w:r>
            <w:r>
              <w:rPr>
                <w:rFonts w:eastAsia="仿宋_GB2312" w:hint="eastAsia"/>
                <w:kern w:val="0"/>
                <w:sz w:val="24"/>
              </w:rPr>
              <w:t>与墙壁、地面保持适当距离，并明确标识，防止交叉污染。</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708"/>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物料存放或标识略有不足。</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825"/>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原辅料、半成品、成品等与清洁剂、消毒剂、杀虫剂、润滑剂、燃料等物料未分隔存放；物料无标识或标识混乱。</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61"/>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r>
              <w:rPr>
                <w:rFonts w:eastAsia="仿宋_GB2312"/>
                <w:kern w:val="0"/>
                <w:sz w:val="24"/>
              </w:rPr>
              <w:t>3.</w:t>
            </w:r>
            <w:r>
              <w:rPr>
                <w:rFonts w:eastAsia="仿宋_GB2312" w:hint="eastAsia"/>
                <w:kern w:val="0"/>
                <w:sz w:val="24"/>
              </w:rPr>
              <w:t>有外设仓库的，应当承诺外设仓库符合</w:t>
            </w:r>
            <w:smartTag w:uri="urn:schemas-microsoft-com:office:smarttags" w:element="chsdate">
              <w:smartTagPr>
                <w:attr w:name="IsROCDate" w:val="False"/>
                <w:attr w:name="IsLunarDate" w:val="False"/>
                <w:attr w:name="Day" w:val="30"/>
                <w:attr w:name="Month" w:val="12"/>
                <w:attr w:name="Year" w:val="1899"/>
              </w:smartTagPr>
              <w:r>
                <w:rPr>
                  <w:rFonts w:eastAsia="仿宋_GB2312"/>
                  <w:kern w:val="0"/>
                  <w:sz w:val="24"/>
                </w:rPr>
                <w:t>1.3.1</w:t>
              </w:r>
            </w:smartTag>
            <w:r>
              <w:rPr>
                <w:rFonts w:eastAsia="仿宋_GB2312" w:hint="eastAsia"/>
                <w:kern w:val="0"/>
                <w:sz w:val="24"/>
              </w:rPr>
              <w:t>、</w:t>
            </w:r>
            <w:r>
              <w:rPr>
                <w:rFonts w:eastAsia="仿宋_GB2312"/>
                <w:kern w:val="0"/>
                <w:sz w:val="24"/>
              </w:rPr>
              <w:t>1.3.2</w:t>
            </w:r>
            <w:r>
              <w:rPr>
                <w:rFonts w:eastAsia="仿宋_GB2312" w:hint="eastAsia"/>
                <w:kern w:val="0"/>
                <w:sz w:val="24"/>
              </w:rPr>
              <w:t>条款的要求，并提供相关影像资料。</w:t>
            </w:r>
          </w:p>
        </w:tc>
        <w:tc>
          <w:tcPr>
            <w:tcW w:w="2976" w:type="dxa"/>
            <w:tcBorders>
              <w:top w:val="single" w:sz="4" w:space="0" w:color="auto"/>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widowControl/>
              <w:jc w:val="left"/>
              <w:rPr>
                <w:rFonts w:eastAsia="仿宋_GB2312"/>
                <w:kern w:val="0"/>
                <w:sz w:val="24"/>
              </w:rPr>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widowControl/>
              <w:jc w:val="left"/>
              <w:rPr>
                <w:rFonts w:eastAsia="仿宋_GB2312"/>
                <w:kern w:val="0"/>
                <w:sz w:val="24"/>
              </w:rPr>
            </w:pPr>
          </w:p>
        </w:tc>
      </w:tr>
      <w:tr w:rsidR="007B665D" w:rsidTr="007B665D">
        <w:trPr>
          <w:cantSplit/>
          <w:trHeight w:val="980"/>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承诺材料或影像资料略不完整。</w:t>
            </w:r>
          </w:p>
        </w:tc>
        <w:tc>
          <w:tcPr>
            <w:tcW w:w="426"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20"/>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未提交承诺材料或影像资料，或者影像资料存在严重不足。</w:t>
            </w:r>
          </w:p>
        </w:tc>
        <w:tc>
          <w:tcPr>
            <w:tcW w:w="426"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bl>
    <w:p w:rsidR="007B665D" w:rsidRDefault="007B665D" w:rsidP="000F38EE">
      <w:pPr>
        <w:spacing w:beforeLines="100" w:afterLines="50" w:line="400" w:lineRule="exact"/>
        <w:jc w:val="center"/>
        <w:outlineLvl w:val="0"/>
        <w:rPr>
          <w:rFonts w:eastAsia="黑体"/>
          <w:sz w:val="32"/>
          <w:szCs w:val="32"/>
        </w:rPr>
      </w:pPr>
      <w:r>
        <w:rPr>
          <w:rFonts w:eastAsia="黑体" w:hint="eastAsia"/>
          <w:sz w:val="32"/>
          <w:szCs w:val="32"/>
        </w:rPr>
        <w:lastRenderedPageBreak/>
        <w:t>二、设备设施（共</w:t>
      </w:r>
      <w:r>
        <w:rPr>
          <w:rFonts w:eastAsia="黑体"/>
          <w:sz w:val="32"/>
          <w:szCs w:val="32"/>
        </w:rPr>
        <w:t>33</w:t>
      </w:r>
      <w:r>
        <w:rPr>
          <w:rFonts w:eastAsia="黑体" w:hint="eastAsia"/>
          <w:sz w:val="32"/>
          <w:szCs w:val="32"/>
        </w:rPr>
        <w:t>分）</w:t>
      </w:r>
    </w:p>
    <w:tbl>
      <w:tblPr>
        <w:tblW w:w="134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4"/>
        <w:gridCol w:w="1418"/>
        <w:gridCol w:w="3970"/>
        <w:gridCol w:w="2977"/>
        <w:gridCol w:w="426"/>
        <w:gridCol w:w="1275"/>
        <w:gridCol w:w="2695"/>
      </w:tblGrid>
      <w:tr w:rsidR="007B665D" w:rsidTr="007B665D">
        <w:trPr>
          <w:cantSplit/>
          <w:trHeight w:val="20"/>
          <w:tblHeader/>
        </w:trPr>
        <w:tc>
          <w:tcPr>
            <w:tcW w:w="724"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核查项目</w:t>
            </w:r>
          </w:p>
        </w:tc>
        <w:tc>
          <w:tcPr>
            <w:tcW w:w="3969"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核查内容</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评分标准</w:t>
            </w:r>
          </w:p>
        </w:tc>
        <w:tc>
          <w:tcPr>
            <w:tcW w:w="1275"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核查得分</w:t>
            </w:r>
          </w:p>
        </w:tc>
        <w:tc>
          <w:tcPr>
            <w:tcW w:w="2694"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核查记录</w:t>
            </w:r>
          </w:p>
        </w:tc>
      </w:tr>
      <w:tr w:rsidR="007B665D" w:rsidTr="007B665D">
        <w:trPr>
          <w:cantSplit/>
          <w:trHeight w:val="432"/>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2.1</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生产设备</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1.</w:t>
            </w:r>
            <w:r>
              <w:rPr>
                <w:rFonts w:eastAsia="仿宋_GB2312" w:hint="eastAsia"/>
                <w:kern w:val="0"/>
                <w:sz w:val="24"/>
              </w:rPr>
              <w:t>应</w:t>
            </w:r>
            <w:r>
              <w:rPr>
                <w:rFonts w:eastAsia="仿宋_GB2312" w:hint="eastAsia"/>
                <w:sz w:val="24"/>
              </w:rPr>
              <w:t>当</w:t>
            </w:r>
            <w:r>
              <w:rPr>
                <w:rFonts w:eastAsia="仿宋_GB2312" w:hint="eastAsia"/>
                <w:kern w:val="0"/>
                <w:sz w:val="24"/>
              </w:rPr>
              <w:t>配备与生产的产品品种、数量相适应的生产设备，设备的性能和精度应</w:t>
            </w:r>
            <w:r>
              <w:rPr>
                <w:rFonts w:eastAsia="仿宋_GB2312" w:hint="eastAsia"/>
                <w:sz w:val="24"/>
              </w:rPr>
              <w:t>当</w:t>
            </w:r>
            <w:r>
              <w:rPr>
                <w:rFonts w:eastAsia="仿宋_GB2312" w:hint="eastAsia"/>
                <w:kern w:val="0"/>
                <w:sz w:val="24"/>
              </w:rPr>
              <w:t>满足生产加工的要求。</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jc w:val="left"/>
              <w:rPr>
                <w:rFonts w:eastAsia="仿宋_GB2312"/>
                <w:kern w:val="0"/>
                <w:sz w:val="24"/>
              </w:rPr>
            </w:pPr>
          </w:p>
        </w:tc>
      </w:tr>
      <w:tr w:rsidR="007B665D" w:rsidTr="007B665D">
        <w:trPr>
          <w:cantSplit/>
          <w:trHeight w:val="696"/>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rPr>
                <w:rFonts w:eastAsia="仿宋_GB2312"/>
                <w:kern w:val="0"/>
                <w:sz w:val="24"/>
              </w:rPr>
            </w:pPr>
            <w:r>
              <w:rPr>
                <w:rFonts w:eastAsia="仿宋_GB2312" w:hint="eastAsia"/>
                <w:kern w:val="0"/>
                <w:sz w:val="24"/>
              </w:rPr>
              <w:t>个别设备的性能和精度略有不足。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693"/>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rPr>
                <w:rFonts w:eastAsia="仿宋_GB2312"/>
                <w:kern w:val="0"/>
                <w:sz w:val="24"/>
              </w:rPr>
            </w:pPr>
            <w:r>
              <w:rPr>
                <w:rFonts w:eastAsia="仿宋_GB2312" w:hint="eastAsia"/>
                <w:kern w:val="0"/>
                <w:sz w:val="24"/>
              </w:rPr>
              <w:t>生产设备不满足生产加工要求。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41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2.</w:t>
            </w:r>
            <w:r>
              <w:rPr>
                <w:rFonts w:eastAsia="仿宋_GB2312" w:hint="eastAsia"/>
                <w:kern w:val="0"/>
                <w:sz w:val="24"/>
              </w:rPr>
              <w:t>生产设备清洁卫生，直接接触食品的设备、工器具材质应</w:t>
            </w:r>
            <w:r>
              <w:rPr>
                <w:rFonts w:eastAsia="仿宋_GB2312" w:hint="eastAsia"/>
                <w:sz w:val="24"/>
              </w:rPr>
              <w:t>当</w:t>
            </w:r>
            <w:r>
              <w:rPr>
                <w:rFonts w:eastAsia="仿宋_GB2312" w:hint="eastAsia"/>
                <w:kern w:val="0"/>
                <w:sz w:val="24"/>
              </w:rPr>
              <w:t>无毒、无味、抗腐蚀、不易脱落，表面光滑、无吸收性，易于清洁保养和消毒。</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jc w:val="left"/>
              <w:rPr>
                <w:rFonts w:eastAsia="仿宋_GB2312"/>
                <w:kern w:val="0"/>
                <w:sz w:val="24"/>
              </w:rPr>
            </w:pPr>
          </w:p>
        </w:tc>
      </w:tr>
      <w:tr w:rsidR="007B665D" w:rsidTr="007B665D">
        <w:trPr>
          <w:cantSplit/>
          <w:trHeight w:val="70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设备清洁卫生程度或者设备材质略有不足。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0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严重不符合规定要求。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427"/>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2.2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供排水设施</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1.</w:t>
            </w:r>
            <w:r>
              <w:rPr>
                <w:rFonts w:eastAsia="仿宋_GB2312" w:hint="eastAsia"/>
                <w:kern w:val="0"/>
                <w:sz w:val="24"/>
              </w:rPr>
              <w:t>食品加工用水的水质应</w:t>
            </w:r>
            <w:r>
              <w:rPr>
                <w:rFonts w:eastAsia="仿宋_GB2312" w:hint="eastAsia"/>
                <w:sz w:val="24"/>
              </w:rPr>
              <w:t>当</w:t>
            </w:r>
            <w:r>
              <w:rPr>
                <w:rFonts w:eastAsia="仿宋_GB2312" w:hint="eastAsia"/>
                <w:kern w:val="0"/>
                <w:sz w:val="24"/>
              </w:rPr>
              <w:t>符合</w:t>
            </w:r>
            <w:r>
              <w:rPr>
                <w:rFonts w:eastAsia="仿宋_GB2312"/>
                <w:kern w:val="0"/>
                <w:sz w:val="24"/>
              </w:rPr>
              <w:t>GB 5749</w:t>
            </w:r>
            <w:r>
              <w:rPr>
                <w:rFonts w:eastAsia="仿宋_GB2312" w:hint="eastAsia"/>
                <w:kern w:val="0"/>
                <w:sz w:val="24"/>
              </w:rPr>
              <w:t>的规定，有特殊要求的应</w:t>
            </w:r>
            <w:r>
              <w:rPr>
                <w:rFonts w:eastAsia="仿宋_GB2312" w:hint="eastAsia"/>
                <w:sz w:val="24"/>
              </w:rPr>
              <w:t>当</w:t>
            </w:r>
            <w:r>
              <w:rPr>
                <w:rFonts w:eastAsia="仿宋_GB2312" w:hint="eastAsia"/>
                <w:kern w:val="0"/>
                <w:sz w:val="24"/>
              </w:rPr>
              <w:t>符合相应规定。食品加工用水与其他不与食品接触的用水应</w:t>
            </w:r>
            <w:r>
              <w:rPr>
                <w:rFonts w:eastAsia="仿宋_GB2312" w:hint="eastAsia"/>
                <w:sz w:val="24"/>
              </w:rPr>
              <w:t>当</w:t>
            </w:r>
            <w:r>
              <w:rPr>
                <w:rFonts w:eastAsia="仿宋_GB2312" w:hint="eastAsia"/>
                <w:kern w:val="0"/>
                <w:sz w:val="24"/>
              </w:rPr>
              <w:t>以完全分离的管路输送，避免交叉污染，各管路系统应</w:t>
            </w:r>
            <w:r>
              <w:rPr>
                <w:rFonts w:eastAsia="仿宋_GB2312" w:hint="eastAsia"/>
                <w:sz w:val="24"/>
              </w:rPr>
              <w:t>当</w:t>
            </w:r>
            <w:r>
              <w:rPr>
                <w:rFonts w:eastAsia="仿宋_GB2312" w:hint="eastAsia"/>
                <w:kern w:val="0"/>
                <w:sz w:val="24"/>
              </w:rPr>
              <w:t>明确标识以便区分。</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jc w:val="left"/>
              <w:rPr>
                <w:rFonts w:eastAsia="仿宋_GB2312"/>
                <w:kern w:val="0"/>
                <w:sz w:val="24"/>
              </w:rPr>
            </w:pPr>
          </w:p>
        </w:tc>
      </w:tr>
      <w:tr w:rsidR="007B665D" w:rsidTr="007B665D">
        <w:trPr>
          <w:cantSplit/>
          <w:trHeight w:val="40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供水管路标识略有不足。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344"/>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食品加工用水的水质不符合规定要求，或者供水管路无标识或标识混乱，或者供水管路存在交叉污染。</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443"/>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2.</w:t>
            </w:r>
            <w:r>
              <w:rPr>
                <w:rFonts w:eastAsia="仿宋_GB2312" w:hint="eastAsia"/>
                <w:kern w:val="0"/>
                <w:sz w:val="24"/>
              </w:rPr>
              <w:t>室内排水应当由清洁程度高的区域流向清洁程度低的区域，且有防止逆流的措施。排水系统出入口设计合理并有防止污染和虫害侵入的措施。</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43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相关防护措施略有不足。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室内排水流向不符合要求，或者相关防护措施严重不足。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24"/>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lastRenderedPageBreak/>
              <w:t>2.3</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清洁消毒设施</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配备相应的食品、工器具和设备的清洁设施，必要时配备相应的消毒设施。清洁、消毒方式应</w:t>
            </w:r>
            <w:r>
              <w:rPr>
                <w:rFonts w:eastAsia="仿宋_GB2312" w:hint="eastAsia"/>
                <w:sz w:val="24"/>
              </w:rPr>
              <w:t>当</w:t>
            </w:r>
            <w:r>
              <w:rPr>
                <w:rFonts w:eastAsia="仿宋_GB2312" w:hint="eastAsia"/>
                <w:kern w:val="0"/>
                <w:sz w:val="24"/>
              </w:rPr>
              <w:t>避免对食品造成交叉污染，使用的洗涤剂、消毒剂应当符合相关规定要求。</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56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清洁消毒设施略有不足。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13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清洁消毒设施严重不足，或者清洁消毒的方式、用品不符合规定要求。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52"/>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2.4</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废弃物存放设施</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配备设计合理、防止渗漏、易于清洁的存放废弃物的专用设施。车间内存放废弃物的设施和容器应</w:t>
            </w:r>
            <w:r>
              <w:rPr>
                <w:rFonts w:eastAsia="仿宋_GB2312" w:hint="eastAsia"/>
                <w:sz w:val="24"/>
              </w:rPr>
              <w:t>当</w:t>
            </w:r>
            <w:r>
              <w:rPr>
                <w:rFonts w:eastAsia="仿宋_GB2312" w:hint="eastAsia"/>
                <w:kern w:val="0"/>
                <w:sz w:val="24"/>
              </w:rPr>
              <w:t>标识清晰，不得与盛装原辅料、半成品、成品的容器混用。</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rPr>
                <w:rFonts w:eastAsia="仿宋_GB2312"/>
                <w:kern w:val="0"/>
                <w:sz w:val="24"/>
              </w:rPr>
            </w:pPr>
          </w:p>
        </w:tc>
      </w:tr>
      <w:tr w:rsidR="007B665D" w:rsidTr="007B665D">
        <w:trPr>
          <w:cantSplit/>
          <w:trHeight w:val="783"/>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废弃物存放设施及标识略有不足。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146"/>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废弃物存放设施设计不合理，或者与盛装原辅料、半成品、成品的容器混用。</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635"/>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个人卫生设施</w:t>
            </w:r>
            <w:r>
              <w:rPr>
                <w:rFonts w:eastAsia="仿宋_GB2312" w:hint="eastAsia"/>
                <w:kern w:val="0"/>
                <w:sz w:val="22"/>
              </w:rPr>
              <w:t xml:space="preserve">　</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生产场所或车间入口处应</w:t>
            </w:r>
            <w:r>
              <w:rPr>
                <w:rFonts w:eastAsia="仿宋_GB2312" w:hint="eastAsia"/>
                <w:sz w:val="24"/>
              </w:rPr>
              <w:t>当</w:t>
            </w:r>
            <w:r>
              <w:rPr>
                <w:rFonts w:eastAsia="仿宋_GB2312" w:hint="eastAsia"/>
                <w:kern w:val="0"/>
                <w:sz w:val="24"/>
              </w:rPr>
              <w:t>设置更衣室，更衣室应</w:t>
            </w:r>
            <w:r>
              <w:rPr>
                <w:rFonts w:eastAsia="仿宋_GB2312" w:hint="eastAsia"/>
                <w:sz w:val="24"/>
              </w:rPr>
              <w:t>当</w:t>
            </w:r>
            <w:r>
              <w:rPr>
                <w:rFonts w:eastAsia="仿宋_GB2312" w:hint="eastAsia"/>
                <w:kern w:val="0"/>
                <w:sz w:val="24"/>
              </w:rPr>
              <w:t>保证工作服与个人服装及其他物品分开放置；车间入口及车间内必要处，应</w:t>
            </w:r>
            <w:r>
              <w:rPr>
                <w:rFonts w:eastAsia="仿宋_GB2312" w:hint="eastAsia"/>
                <w:sz w:val="24"/>
              </w:rPr>
              <w:t>当</w:t>
            </w:r>
            <w:r>
              <w:rPr>
                <w:rFonts w:eastAsia="仿宋_GB2312" w:hint="eastAsia"/>
                <w:kern w:val="0"/>
                <w:sz w:val="24"/>
              </w:rPr>
              <w:t>按需设置换鞋（穿戴鞋套）设施或鞋靴消毒设施；清洁作业区入口应</w:t>
            </w:r>
            <w:r>
              <w:rPr>
                <w:rFonts w:eastAsia="仿宋_GB2312" w:hint="eastAsia"/>
                <w:sz w:val="24"/>
              </w:rPr>
              <w:t>当</w:t>
            </w:r>
            <w:r>
              <w:rPr>
                <w:rFonts w:eastAsia="仿宋_GB2312" w:hint="eastAsia"/>
                <w:kern w:val="0"/>
                <w:sz w:val="24"/>
              </w:rPr>
              <w:t>设置与生产加工人员数量相匹配的非手动式洗手、干手和消毒设施。卫生间不得与生产、包装或贮存等区域直接连通。</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rPr>
                <w:rFonts w:eastAsia="仿宋_GB2312"/>
                <w:kern w:val="0"/>
                <w:sz w:val="24"/>
              </w:rPr>
            </w:pPr>
          </w:p>
        </w:tc>
      </w:tr>
      <w:tr w:rsidR="007B665D" w:rsidTr="007B665D">
        <w:trPr>
          <w:cantSplit/>
          <w:trHeight w:val="557"/>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个人卫生设施略有不足。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913"/>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个人卫生设施严重不符合规范要求，或者卫生间与生产、包装、贮存等区域直接连通。</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382"/>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lastRenderedPageBreak/>
              <w:t>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通风设施</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配备适宜的通风、排气设施，避免空气从清洁程度要求低的作业区域流向清洁程度要求高的作业区域；合理设置进气口位置，必要时应</w:t>
            </w:r>
            <w:r>
              <w:rPr>
                <w:rFonts w:eastAsia="仿宋_GB2312" w:hint="eastAsia"/>
                <w:sz w:val="24"/>
              </w:rPr>
              <w:t>当</w:t>
            </w:r>
            <w:r>
              <w:rPr>
                <w:rFonts w:eastAsia="仿宋_GB2312" w:hint="eastAsia"/>
                <w:kern w:val="0"/>
                <w:sz w:val="24"/>
              </w:rPr>
              <w:t>安装空气过滤净化或除尘设施。通风设施应</w:t>
            </w:r>
            <w:r>
              <w:rPr>
                <w:rFonts w:eastAsia="仿宋_GB2312" w:hint="eastAsia"/>
                <w:sz w:val="24"/>
              </w:rPr>
              <w:t>当</w:t>
            </w:r>
            <w:r>
              <w:rPr>
                <w:rFonts w:eastAsia="仿宋_GB2312" w:hint="eastAsia"/>
                <w:kern w:val="0"/>
                <w:sz w:val="24"/>
              </w:rPr>
              <w:t>易于清洁、维修或更换，并能防止虫害侵入。</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rPr>
                <w:rFonts w:eastAsia="仿宋_GB2312"/>
                <w:kern w:val="0"/>
                <w:sz w:val="24"/>
              </w:rPr>
            </w:pPr>
          </w:p>
        </w:tc>
      </w:tr>
      <w:tr w:rsidR="007B665D" w:rsidTr="007B665D">
        <w:trPr>
          <w:cantSplit/>
          <w:trHeight w:val="416"/>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通风设施略有不足。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通风设施严重不足，或者不能满足必要的空气过滤净化、除尘、防止虫害侵入的需求。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455"/>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2.7</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照明设施</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厂房内应</w:t>
            </w:r>
            <w:r>
              <w:rPr>
                <w:rFonts w:eastAsia="仿宋_GB2312" w:hint="eastAsia"/>
                <w:sz w:val="24"/>
              </w:rPr>
              <w:t>当</w:t>
            </w:r>
            <w:r>
              <w:rPr>
                <w:rFonts w:eastAsia="仿宋_GB2312" w:hint="eastAsia"/>
                <w:kern w:val="0"/>
                <w:sz w:val="24"/>
              </w:rPr>
              <w:t>有充足的自然采光或人工照明，光泽和亮度应能满足生产和操作需要，光源应</w:t>
            </w:r>
            <w:r>
              <w:rPr>
                <w:rFonts w:eastAsia="仿宋_GB2312" w:hint="eastAsia"/>
                <w:sz w:val="24"/>
              </w:rPr>
              <w:t>能</w:t>
            </w:r>
            <w:r>
              <w:rPr>
                <w:rFonts w:eastAsia="仿宋_GB2312" w:hint="eastAsia"/>
                <w:kern w:val="0"/>
                <w:sz w:val="24"/>
              </w:rPr>
              <w:t>使物料呈现真实的颜色。在暴露食品和原辅料正上方的照明设施应</w:t>
            </w:r>
            <w:r>
              <w:rPr>
                <w:rFonts w:eastAsia="仿宋_GB2312" w:hint="eastAsia"/>
                <w:sz w:val="24"/>
              </w:rPr>
              <w:t>当</w:t>
            </w:r>
            <w:r>
              <w:rPr>
                <w:rFonts w:eastAsia="仿宋_GB2312" w:hint="eastAsia"/>
                <w:kern w:val="0"/>
                <w:sz w:val="24"/>
              </w:rPr>
              <w:t>使用安全型或有防护措施的照明设施；如需要，还应</w:t>
            </w:r>
            <w:r>
              <w:rPr>
                <w:rFonts w:eastAsia="仿宋_GB2312" w:hint="eastAsia"/>
                <w:sz w:val="24"/>
              </w:rPr>
              <w:t>当</w:t>
            </w:r>
            <w:r>
              <w:rPr>
                <w:rFonts w:eastAsia="仿宋_GB2312" w:hint="eastAsia"/>
                <w:kern w:val="0"/>
                <w:sz w:val="24"/>
              </w:rPr>
              <w:t>配备应急照明设施。</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rPr>
                <w:rFonts w:eastAsia="仿宋_GB2312"/>
                <w:kern w:val="0"/>
                <w:sz w:val="24"/>
              </w:rPr>
            </w:pPr>
          </w:p>
        </w:tc>
      </w:tr>
      <w:tr w:rsidR="007B665D" w:rsidTr="007B665D">
        <w:trPr>
          <w:cantSplit/>
          <w:trHeight w:val="84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照明设施或者防护措施略有不足。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2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照明设施或者防护措施严重不足。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387"/>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2.8</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温控设施</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根据生产的需要，配备适宜的加热、冷却、冷冻以及用于监测温度和控制室温的设施。</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421"/>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温控设施略有不足。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413"/>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温控设施严重不足。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419"/>
        </w:trPr>
        <w:tc>
          <w:tcPr>
            <w:tcW w:w="724"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2.9</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检验设备设施</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r>
              <w:rPr>
                <w:rFonts w:eastAsia="仿宋_GB2312" w:hint="eastAsia"/>
                <w:kern w:val="0"/>
                <w:sz w:val="24"/>
              </w:rPr>
              <w:t>自行检验的，应</w:t>
            </w:r>
            <w:r>
              <w:rPr>
                <w:rFonts w:eastAsia="仿宋_GB2312" w:hint="eastAsia"/>
                <w:sz w:val="24"/>
              </w:rPr>
              <w:t>当</w:t>
            </w:r>
            <w:r>
              <w:rPr>
                <w:rFonts w:eastAsia="仿宋_GB2312" w:hint="eastAsia"/>
                <w:kern w:val="0"/>
                <w:sz w:val="24"/>
              </w:rPr>
              <w:t>具备与所检项目相适应的检验室和检验设备。检验室应</w:t>
            </w:r>
            <w:r>
              <w:rPr>
                <w:rFonts w:eastAsia="仿宋_GB2312" w:hint="eastAsia"/>
                <w:sz w:val="24"/>
              </w:rPr>
              <w:t>当</w:t>
            </w:r>
            <w:r>
              <w:rPr>
                <w:rFonts w:eastAsia="仿宋_GB2312" w:hint="eastAsia"/>
                <w:kern w:val="0"/>
                <w:sz w:val="24"/>
              </w:rPr>
              <w:t>布局合理，检验设备的数量、性能、精度应</w:t>
            </w:r>
            <w:r>
              <w:rPr>
                <w:rFonts w:eastAsia="仿宋_GB2312" w:hint="eastAsia"/>
                <w:sz w:val="24"/>
              </w:rPr>
              <w:t>当</w:t>
            </w:r>
            <w:r>
              <w:rPr>
                <w:rFonts w:eastAsia="仿宋_GB2312" w:hint="eastAsia"/>
                <w:kern w:val="0"/>
                <w:sz w:val="24"/>
              </w:rPr>
              <w:t>满足相应的检验需求。</w:t>
            </w: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7B665D" w:rsidRDefault="007B665D">
            <w:pPr>
              <w:rPr>
                <w:rFonts w:eastAsia="仿宋_GB2312"/>
                <w:kern w:val="0"/>
                <w:sz w:val="24"/>
              </w:rPr>
            </w:pPr>
          </w:p>
        </w:tc>
      </w:tr>
      <w:tr w:rsidR="007B665D" w:rsidTr="007B665D">
        <w:trPr>
          <w:cantSplit/>
          <w:trHeight w:val="837"/>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检验室布局略不合理，或者检验设备性能略有不足。</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132"/>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检验室布局不合理，或者检验设备数量、性能、精度不能满足检验需求。</w:t>
            </w:r>
          </w:p>
        </w:tc>
        <w:tc>
          <w:tcPr>
            <w:tcW w:w="426"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bl>
    <w:p w:rsidR="007B665D" w:rsidRDefault="007B665D" w:rsidP="000F38EE">
      <w:pPr>
        <w:spacing w:beforeLines="100" w:afterLines="50" w:line="400" w:lineRule="exact"/>
        <w:jc w:val="center"/>
        <w:outlineLvl w:val="0"/>
        <w:rPr>
          <w:rFonts w:eastAsia="黑体"/>
          <w:sz w:val="32"/>
          <w:szCs w:val="32"/>
        </w:rPr>
      </w:pPr>
      <w:r>
        <w:rPr>
          <w:rFonts w:eastAsia="黑体" w:hint="eastAsia"/>
          <w:sz w:val="32"/>
          <w:szCs w:val="32"/>
        </w:rPr>
        <w:lastRenderedPageBreak/>
        <w:t>三、设备布局和工艺流程（共</w:t>
      </w:r>
      <w:r>
        <w:rPr>
          <w:rFonts w:eastAsia="黑体"/>
          <w:sz w:val="32"/>
          <w:szCs w:val="32"/>
        </w:rPr>
        <w:t>9</w:t>
      </w:r>
      <w:r>
        <w:rPr>
          <w:rFonts w:eastAsia="黑体" w:hint="eastAsia"/>
          <w:sz w:val="32"/>
          <w:szCs w:val="32"/>
        </w:rPr>
        <w:t>分）</w:t>
      </w:r>
    </w:p>
    <w:tbl>
      <w:tblPr>
        <w:tblW w:w="13477" w:type="dxa"/>
        <w:tblInd w:w="98" w:type="dxa"/>
        <w:tblLook w:val="00A0"/>
      </w:tblPr>
      <w:tblGrid>
        <w:gridCol w:w="719"/>
        <w:gridCol w:w="1418"/>
        <w:gridCol w:w="3969"/>
        <w:gridCol w:w="2976"/>
        <w:gridCol w:w="457"/>
        <w:gridCol w:w="1263"/>
        <w:gridCol w:w="2675"/>
      </w:tblGrid>
      <w:tr w:rsidR="007B665D" w:rsidTr="007B665D">
        <w:trPr>
          <w:cantSplit/>
          <w:trHeight w:val="470"/>
          <w:tblHeader/>
        </w:trPr>
        <w:tc>
          <w:tcPr>
            <w:tcW w:w="719"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序号</w:t>
            </w:r>
          </w:p>
        </w:tc>
        <w:tc>
          <w:tcPr>
            <w:tcW w:w="1418"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核查项目</w:t>
            </w:r>
          </w:p>
        </w:tc>
        <w:tc>
          <w:tcPr>
            <w:tcW w:w="3969"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核查内容</w:t>
            </w:r>
          </w:p>
        </w:tc>
        <w:tc>
          <w:tcPr>
            <w:tcW w:w="3433" w:type="dxa"/>
            <w:gridSpan w:val="2"/>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评分标准</w:t>
            </w:r>
          </w:p>
        </w:tc>
        <w:tc>
          <w:tcPr>
            <w:tcW w:w="1263"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核查得分</w:t>
            </w:r>
          </w:p>
        </w:tc>
        <w:tc>
          <w:tcPr>
            <w:tcW w:w="2675"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核查记录</w:t>
            </w:r>
          </w:p>
        </w:tc>
      </w:tr>
      <w:tr w:rsidR="007B665D" w:rsidTr="007B665D">
        <w:trPr>
          <w:cantSplit/>
          <w:trHeight w:val="548"/>
        </w:trPr>
        <w:tc>
          <w:tcPr>
            <w:tcW w:w="71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3.1</w:t>
            </w:r>
          </w:p>
        </w:tc>
        <w:tc>
          <w:tcPr>
            <w:tcW w:w="141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设备布局</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生产设备应</w:t>
            </w:r>
            <w:r>
              <w:rPr>
                <w:rFonts w:eastAsia="仿宋_GB2312" w:hint="eastAsia"/>
                <w:sz w:val="24"/>
              </w:rPr>
              <w:t>当</w:t>
            </w:r>
            <w:r>
              <w:rPr>
                <w:rFonts w:eastAsia="仿宋_GB2312" w:hint="eastAsia"/>
                <w:kern w:val="0"/>
                <w:sz w:val="24"/>
              </w:rPr>
              <w:t>按照工艺流程有序排列，合理布局，便于清洁、消毒和维护，避免交叉污染。</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3"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75" w:type="dxa"/>
            <w:vMerge w:val="restart"/>
            <w:tcBorders>
              <w:top w:val="nil"/>
              <w:left w:val="nil"/>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570"/>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个别设备布局不合理。</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58"/>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设备布局存在交叉污染。</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39"/>
        </w:trPr>
        <w:tc>
          <w:tcPr>
            <w:tcW w:w="71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3.2</w:t>
            </w:r>
          </w:p>
        </w:tc>
        <w:tc>
          <w:tcPr>
            <w:tcW w:w="141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工艺流程</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1.</w:t>
            </w:r>
            <w:r>
              <w:rPr>
                <w:rFonts w:eastAsia="仿宋_GB2312" w:hint="eastAsia"/>
                <w:kern w:val="0"/>
                <w:sz w:val="24"/>
              </w:rPr>
              <w:t>应</w:t>
            </w:r>
            <w:r>
              <w:rPr>
                <w:rFonts w:eastAsia="仿宋_GB2312" w:hint="eastAsia"/>
                <w:sz w:val="24"/>
              </w:rPr>
              <w:t>当</w:t>
            </w:r>
            <w:r>
              <w:rPr>
                <w:rFonts w:eastAsia="仿宋_GB2312" w:hint="eastAsia"/>
                <w:kern w:val="0"/>
                <w:sz w:val="24"/>
              </w:rPr>
              <w:t>具备合理的生产工艺流程，防止生产过程中造成交叉污染。工艺流程应</w:t>
            </w:r>
            <w:r>
              <w:rPr>
                <w:rFonts w:eastAsia="仿宋_GB2312" w:hint="eastAsia"/>
                <w:sz w:val="24"/>
              </w:rPr>
              <w:t>当</w:t>
            </w:r>
            <w:r>
              <w:rPr>
                <w:rFonts w:eastAsia="仿宋_GB2312" w:hint="eastAsia"/>
                <w:kern w:val="0"/>
                <w:sz w:val="24"/>
              </w:rPr>
              <w:t>与产品执行标准相适应。执行企业标准的，应</w:t>
            </w:r>
            <w:r>
              <w:rPr>
                <w:rFonts w:eastAsia="仿宋_GB2312" w:hint="eastAsia"/>
                <w:sz w:val="24"/>
              </w:rPr>
              <w:t>当</w:t>
            </w:r>
            <w:r>
              <w:rPr>
                <w:rFonts w:eastAsia="仿宋_GB2312" w:hint="eastAsia"/>
                <w:kern w:val="0"/>
                <w:sz w:val="24"/>
              </w:rPr>
              <w:t>依法备案。</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3"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75" w:type="dxa"/>
            <w:vMerge w:val="restart"/>
            <w:tcBorders>
              <w:top w:val="single" w:sz="4" w:space="0" w:color="auto"/>
              <w:left w:val="nil"/>
              <w:bottom w:val="single" w:sz="4" w:space="0" w:color="auto"/>
              <w:right w:val="single" w:sz="4" w:space="0" w:color="auto"/>
            </w:tcBorders>
            <w:vAlign w:val="center"/>
          </w:tcPr>
          <w:p w:rsidR="007B665D" w:rsidRDefault="007B665D">
            <w:pPr>
              <w:rPr>
                <w:rFonts w:eastAsia="仿宋_GB2312"/>
                <w:kern w:val="0"/>
                <w:sz w:val="24"/>
              </w:rPr>
            </w:pPr>
          </w:p>
        </w:tc>
      </w:tr>
      <w:tr w:rsidR="007B665D" w:rsidTr="007B665D">
        <w:trPr>
          <w:cantSplit/>
          <w:trHeight w:val="1122"/>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个别工艺流程略有交叉，或者略不符合产品执行标准的规定。</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394"/>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工艺流程存在交叉污染，或者不符合产品执行标准的规定，或者企业标准未依法备案。</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single" w:sz="4" w:space="0" w:color="auto"/>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421"/>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2.</w:t>
            </w:r>
            <w:r>
              <w:rPr>
                <w:rFonts w:eastAsia="仿宋_GB2312" w:hint="eastAsia"/>
                <w:kern w:val="0"/>
                <w:sz w:val="24"/>
              </w:rPr>
              <w:t>应</w:t>
            </w:r>
            <w:r>
              <w:rPr>
                <w:rFonts w:eastAsia="仿宋_GB2312" w:hint="eastAsia"/>
                <w:sz w:val="24"/>
              </w:rPr>
              <w:t>当</w:t>
            </w:r>
            <w:r>
              <w:rPr>
                <w:rFonts w:eastAsia="仿宋_GB2312" w:hint="eastAsia"/>
                <w:kern w:val="0"/>
                <w:sz w:val="24"/>
              </w:rPr>
              <w:t>制定所需的产品配方、工艺规程、作业指导书等工艺文件，明确生产过程中的食品安全关键环节。复配食品添加剂的产品配方、有害物质、致病性微生物等的控制要求应</w:t>
            </w:r>
            <w:r>
              <w:rPr>
                <w:rFonts w:eastAsia="仿宋_GB2312" w:hint="eastAsia"/>
                <w:sz w:val="24"/>
              </w:rPr>
              <w:t>当</w:t>
            </w:r>
            <w:r>
              <w:rPr>
                <w:rFonts w:eastAsia="仿宋_GB2312" w:hint="eastAsia"/>
                <w:kern w:val="0"/>
                <w:sz w:val="24"/>
              </w:rPr>
              <w:t>符合食品安全标准的规定。</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3"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75" w:type="dxa"/>
            <w:vMerge w:val="restart"/>
            <w:tcBorders>
              <w:top w:val="nil"/>
              <w:left w:val="nil"/>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413"/>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工艺文件略有不足。</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412"/>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工艺文件严重不足，或者复配食品添加剂的相关控制要求不符合食品安全标准的规定。</w:t>
            </w:r>
          </w:p>
        </w:tc>
        <w:tc>
          <w:tcPr>
            <w:tcW w:w="457"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bl>
    <w:p w:rsidR="007B665D" w:rsidRDefault="007B665D" w:rsidP="000F38EE">
      <w:pPr>
        <w:spacing w:beforeLines="100" w:afterLines="50" w:line="400" w:lineRule="exact"/>
        <w:jc w:val="center"/>
        <w:outlineLvl w:val="0"/>
        <w:rPr>
          <w:rFonts w:eastAsia="黑体"/>
          <w:sz w:val="32"/>
          <w:szCs w:val="32"/>
        </w:rPr>
      </w:pPr>
      <w:r>
        <w:rPr>
          <w:rFonts w:eastAsia="黑体" w:hint="eastAsia"/>
          <w:sz w:val="32"/>
          <w:szCs w:val="32"/>
        </w:rPr>
        <w:lastRenderedPageBreak/>
        <w:t>四、人员管理（共</w:t>
      </w:r>
      <w:r>
        <w:rPr>
          <w:rFonts w:eastAsia="黑体"/>
          <w:sz w:val="32"/>
          <w:szCs w:val="32"/>
        </w:rPr>
        <w:t>9</w:t>
      </w:r>
      <w:r>
        <w:rPr>
          <w:rFonts w:eastAsia="黑体" w:hint="eastAsia"/>
          <w:sz w:val="32"/>
          <w:szCs w:val="32"/>
        </w:rPr>
        <w:t>分）</w:t>
      </w:r>
    </w:p>
    <w:tbl>
      <w:tblPr>
        <w:tblW w:w="13482" w:type="dxa"/>
        <w:tblInd w:w="93" w:type="dxa"/>
        <w:tblLook w:val="00A0"/>
      </w:tblPr>
      <w:tblGrid>
        <w:gridCol w:w="734"/>
        <w:gridCol w:w="1408"/>
        <w:gridCol w:w="3969"/>
        <w:gridCol w:w="2976"/>
        <w:gridCol w:w="426"/>
        <w:gridCol w:w="1275"/>
        <w:gridCol w:w="2694"/>
      </w:tblGrid>
      <w:tr w:rsidR="007B665D" w:rsidTr="007B665D">
        <w:trPr>
          <w:cantSplit/>
          <w:trHeight w:val="20"/>
          <w:tblHeader/>
        </w:trPr>
        <w:tc>
          <w:tcPr>
            <w:tcW w:w="734"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序号</w:t>
            </w:r>
          </w:p>
        </w:tc>
        <w:tc>
          <w:tcPr>
            <w:tcW w:w="1408"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核查项目</w:t>
            </w:r>
          </w:p>
        </w:tc>
        <w:tc>
          <w:tcPr>
            <w:tcW w:w="3969"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核查内容</w:t>
            </w:r>
          </w:p>
        </w:tc>
        <w:tc>
          <w:tcPr>
            <w:tcW w:w="3402" w:type="dxa"/>
            <w:gridSpan w:val="2"/>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评分标准</w:t>
            </w:r>
          </w:p>
        </w:tc>
        <w:tc>
          <w:tcPr>
            <w:tcW w:w="1275"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核查得分</w:t>
            </w:r>
          </w:p>
        </w:tc>
        <w:tc>
          <w:tcPr>
            <w:tcW w:w="2694"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核查记录</w:t>
            </w:r>
          </w:p>
        </w:tc>
      </w:tr>
      <w:tr w:rsidR="007B665D" w:rsidTr="007B665D">
        <w:trPr>
          <w:cantSplit/>
          <w:trHeight w:val="432"/>
        </w:trPr>
        <w:tc>
          <w:tcPr>
            <w:tcW w:w="734"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4.1</w:t>
            </w:r>
          </w:p>
        </w:tc>
        <w:tc>
          <w:tcPr>
            <w:tcW w:w="140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人员要求</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配备食品安全管理人员和食品安全专业技术人员，明确其职责。人员要求应</w:t>
            </w:r>
            <w:r>
              <w:rPr>
                <w:rFonts w:eastAsia="仿宋_GB2312" w:hint="eastAsia"/>
                <w:sz w:val="24"/>
              </w:rPr>
              <w:t>当</w:t>
            </w:r>
            <w:r>
              <w:rPr>
                <w:rFonts w:eastAsia="仿宋_GB2312" w:hint="eastAsia"/>
                <w:kern w:val="0"/>
                <w:sz w:val="24"/>
              </w:rPr>
              <w:t>符合有关规定。</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552"/>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人员职责不太明确。</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843"/>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相关人员配备不足，或者人员要求不符合规定。</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57"/>
        </w:trPr>
        <w:tc>
          <w:tcPr>
            <w:tcW w:w="734"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4.2</w:t>
            </w:r>
          </w:p>
        </w:tc>
        <w:tc>
          <w:tcPr>
            <w:tcW w:w="140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人员培训</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制定职工培训计划，开展食品安全知识及卫生培训。食品安全管理人员上岗前应当经过培训，并考核合格。</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834"/>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培训计划及计划执行略有不足。</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272"/>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无培训计划，或者已上岗的相关人员未经培训或考核不合格。</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553"/>
        </w:trPr>
        <w:tc>
          <w:tcPr>
            <w:tcW w:w="734"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4.3</w:t>
            </w:r>
          </w:p>
        </w:tc>
        <w:tc>
          <w:tcPr>
            <w:tcW w:w="1408" w:type="dxa"/>
            <w:vMerge w:val="restart"/>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人员健康管理制度</w:t>
            </w:r>
            <w:r>
              <w:rPr>
                <w:rFonts w:eastAsia="仿宋_GB2312" w:hint="eastAsia"/>
                <w:kern w:val="0"/>
                <w:sz w:val="22"/>
              </w:rPr>
              <w:t xml:space="preserve">　</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建立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844"/>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制度内容略有缺陷，或者个别人员未能提供健康证明。</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552"/>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nil"/>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无制度，或者人员健康管理严重不足。</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bl>
    <w:p w:rsidR="007B665D" w:rsidRDefault="007B665D" w:rsidP="000F38EE">
      <w:pPr>
        <w:spacing w:beforeLines="100" w:afterLines="50" w:line="400" w:lineRule="exact"/>
        <w:jc w:val="center"/>
        <w:outlineLvl w:val="0"/>
        <w:rPr>
          <w:rFonts w:eastAsia="黑体"/>
          <w:sz w:val="32"/>
          <w:szCs w:val="32"/>
        </w:rPr>
      </w:pPr>
      <w:r>
        <w:rPr>
          <w:rFonts w:eastAsia="黑体" w:hint="eastAsia"/>
          <w:sz w:val="32"/>
          <w:szCs w:val="32"/>
        </w:rPr>
        <w:lastRenderedPageBreak/>
        <w:t>五、管理制度（共</w:t>
      </w:r>
      <w:r>
        <w:rPr>
          <w:rFonts w:eastAsia="黑体"/>
          <w:sz w:val="32"/>
          <w:szCs w:val="32"/>
        </w:rPr>
        <w:t>24</w:t>
      </w:r>
      <w:r>
        <w:rPr>
          <w:rFonts w:eastAsia="黑体" w:hint="eastAsia"/>
          <w:sz w:val="32"/>
          <w:szCs w:val="32"/>
        </w:rPr>
        <w:t>分）</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440"/>
        <w:gridCol w:w="3960"/>
        <w:gridCol w:w="2880"/>
        <w:gridCol w:w="540"/>
        <w:gridCol w:w="1260"/>
        <w:gridCol w:w="2700"/>
      </w:tblGrid>
      <w:tr w:rsidR="007B665D" w:rsidTr="007B665D">
        <w:trPr>
          <w:trHeight w:val="20"/>
          <w:tblHeader/>
        </w:trPr>
        <w:tc>
          <w:tcPr>
            <w:tcW w:w="720" w:type="dxa"/>
            <w:tcBorders>
              <w:top w:val="single" w:sz="4" w:space="0" w:color="auto"/>
              <w:left w:val="single" w:sz="4" w:space="0" w:color="auto"/>
              <w:bottom w:val="single" w:sz="4" w:space="0" w:color="auto"/>
              <w:right w:val="single" w:sz="4" w:space="0" w:color="auto"/>
            </w:tcBorders>
            <w:hideMark/>
          </w:tcPr>
          <w:p w:rsidR="007B665D" w:rsidRDefault="007B665D">
            <w:pPr>
              <w:widowControl/>
              <w:jc w:val="center"/>
              <w:rPr>
                <w:rFonts w:eastAsia="仿宋_GB2312"/>
                <w:bCs/>
                <w:kern w:val="0"/>
                <w:sz w:val="24"/>
              </w:rPr>
            </w:pPr>
            <w:r>
              <w:rPr>
                <w:rFonts w:eastAsia="仿宋_GB2312" w:hint="eastAsia"/>
                <w:bCs/>
                <w:kern w:val="0"/>
                <w:sz w:val="24"/>
              </w:rPr>
              <w:t>序号</w:t>
            </w:r>
          </w:p>
        </w:tc>
        <w:tc>
          <w:tcPr>
            <w:tcW w:w="1440" w:type="dxa"/>
            <w:tcBorders>
              <w:top w:val="single" w:sz="4" w:space="0" w:color="auto"/>
              <w:left w:val="single" w:sz="4" w:space="0" w:color="auto"/>
              <w:bottom w:val="single" w:sz="4" w:space="0" w:color="auto"/>
              <w:right w:val="single" w:sz="4" w:space="0" w:color="auto"/>
            </w:tcBorders>
            <w:hideMark/>
          </w:tcPr>
          <w:p w:rsidR="007B665D" w:rsidRDefault="007B665D">
            <w:pPr>
              <w:widowControl/>
              <w:jc w:val="center"/>
              <w:rPr>
                <w:rFonts w:eastAsia="仿宋_GB2312"/>
                <w:bCs/>
                <w:kern w:val="0"/>
                <w:sz w:val="24"/>
              </w:rPr>
            </w:pPr>
            <w:r>
              <w:rPr>
                <w:rFonts w:eastAsia="仿宋_GB2312" w:hint="eastAsia"/>
                <w:bCs/>
                <w:kern w:val="0"/>
                <w:sz w:val="24"/>
              </w:rPr>
              <w:t>核查项目</w:t>
            </w:r>
          </w:p>
        </w:tc>
        <w:tc>
          <w:tcPr>
            <w:tcW w:w="3960" w:type="dxa"/>
            <w:tcBorders>
              <w:top w:val="single" w:sz="4" w:space="0" w:color="auto"/>
              <w:left w:val="single" w:sz="4" w:space="0" w:color="auto"/>
              <w:bottom w:val="single" w:sz="4" w:space="0" w:color="auto"/>
              <w:right w:val="single" w:sz="4" w:space="0" w:color="auto"/>
            </w:tcBorders>
            <w:hideMark/>
          </w:tcPr>
          <w:p w:rsidR="007B665D" w:rsidRDefault="007B665D">
            <w:pPr>
              <w:widowControl/>
              <w:jc w:val="center"/>
              <w:rPr>
                <w:rFonts w:eastAsia="仿宋_GB2312"/>
                <w:bCs/>
                <w:kern w:val="0"/>
                <w:sz w:val="24"/>
              </w:rPr>
            </w:pPr>
            <w:r>
              <w:rPr>
                <w:rFonts w:eastAsia="仿宋_GB2312" w:hint="eastAsia"/>
                <w:bCs/>
                <w:kern w:val="0"/>
                <w:sz w:val="24"/>
              </w:rPr>
              <w:t>核查内容</w:t>
            </w:r>
          </w:p>
        </w:tc>
        <w:tc>
          <w:tcPr>
            <w:tcW w:w="3420" w:type="dxa"/>
            <w:gridSpan w:val="2"/>
            <w:tcBorders>
              <w:top w:val="single" w:sz="4" w:space="0" w:color="auto"/>
              <w:left w:val="single" w:sz="4" w:space="0" w:color="auto"/>
              <w:bottom w:val="single" w:sz="4" w:space="0" w:color="auto"/>
              <w:right w:val="single" w:sz="4" w:space="0" w:color="auto"/>
            </w:tcBorders>
            <w:hideMark/>
          </w:tcPr>
          <w:p w:rsidR="007B665D" w:rsidRDefault="007B665D">
            <w:pPr>
              <w:widowControl/>
              <w:jc w:val="center"/>
              <w:rPr>
                <w:rFonts w:eastAsia="仿宋_GB2312"/>
                <w:bCs/>
                <w:kern w:val="0"/>
                <w:sz w:val="24"/>
              </w:rPr>
            </w:pPr>
            <w:r>
              <w:rPr>
                <w:rFonts w:eastAsia="仿宋_GB2312" w:hint="eastAsia"/>
                <w:bCs/>
                <w:kern w:val="0"/>
                <w:sz w:val="24"/>
              </w:rPr>
              <w:t>评分标准</w:t>
            </w:r>
          </w:p>
        </w:tc>
        <w:tc>
          <w:tcPr>
            <w:tcW w:w="1260" w:type="dxa"/>
            <w:tcBorders>
              <w:top w:val="single" w:sz="4" w:space="0" w:color="auto"/>
              <w:left w:val="single" w:sz="4" w:space="0" w:color="auto"/>
              <w:bottom w:val="single" w:sz="4" w:space="0" w:color="auto"/>
              <w:right w:val="single" w:sz="4" w:space="0" w:color="auto"/>
            </w:tcBorders>
            <w:hideMark/>
          </w:tcPr>
          <w:p w:rsidR="007B665D" w:rsidRDefault="007B665D">
            <w:pPr>
              <w:widowControl/>
              <w:jc w:val="center"/>
              <w:rPr>
                <w:rFonts w:eastAsia="仿宋_GB2312"/>
                <w:bCs/>
                <w:kern w:val="0"/>
                <w:sz w:val="24"/>
              </w:rPr>
            </w:pPr>
            <w:r>
              <w:rPr>
                <w:rFonts w:eastAsia="仿宋_GB2312" w:hint="eastAsia"/>
                <w:bCs/>
                <w:kern w:val="0"/>
                <w:sz w:val="24"/>
              </w:rPr>
              <w:t>核查得分</w:t>
            </w:r>
          </w:p>
        </w:tc>
        <w:tc>
          <w:tcPr>
            <w:tcW w:w="2700" w:type="dxa"/>
            <w:tcBorders>
              <w:top w:val="single" w:sz="4" w:space="0" w:color="auto"/>
              <w:left w:val="single" w:sz="4" w:space="0" w:color="auto"/>
              <w:bottom w:val="single" w:sz="4" w:space="0" w:color="auto"/>
              <w:right w:val="single" w:sz="4" w:space="0" w:color="auto"/>
            </w:tcBorders>
            <w:hideMark/>
          </w:tcPr>
          <w:p w:rsidR="007B665D" w:rsidRDefault="007B665D">
            <w:pPr>
              <w:widowControl/>
              <w:jc w:val="center"/>
              <w:rPr>
                <w:rFonts w:eastAsia="仿宋_GB2312"/>
                <w:bCs/>
                <w:kern w:val="0"/>
                <w:sz w:val="24"/>
              </w:rPr>
            </w:pPr>
            <w:r>
              <w:rPr>
                <w:rFonts w:eastAsia="仿宋_GB2312" w:hint="eastAsia"/>
                <w:bCs/>
                <w:kern w:val="0"/>
                <w:sz w:val="24"/>
              </w:rPr>
              <w:t>核查记录</w:t>
            </w:r>
          </w:p>
        </w:tc>
      </w:tr>
      <w:tr w:rsidR="007B665D" w:rsidTr="007B665D">
        <w:trPr>
          <w:trHeight w:val="57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5.1</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进货查验记录制度</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建立进货查验记录制度，并规定采购原辅料时，应当查验供货者的许可证和产品合格证明，记录采购的原辅料名称、规格、数量、生产日期或者生产批号、保质期、进货日期以及供货者名称、地址、联系方式等信息，保存相关记录和凭证。</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tabs>
                <w:tab w:val="left" w:pos="2664"/>
              </w:tabs>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rPr>
                <w:rFonts w:eastAsia="仿宋_GB2312"/>
                <w:kern w:val="0"/>
                <w:sz w:val="24"/>
              </w:rPr>
            </w:pPr>
          </w:p>
        </w:tc>
      </w:tr>
      <w:tr w:rsidR="007B665D" w:rsidTr="007B665D">
        <w:trPr>
          <w:trHeight w:val="55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制度内容略有不足。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139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无制度，或者制度内容严重不足。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563"/>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5.2</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生产过程控制制度</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建立生产过程控制制度，明确原料控制（如领料、投料等）、生产关键环节控制（如生产工序、设备管理、贮存、包装等）、检验控制（如原料检验、半成品检验、成品出厂检验等）以及运输和交付控制的相关要求。</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rPr>
                <w:rFonts w:eastAsia="仿宋_GB2312"/>
                <w:kern w:val="0"/>
                <w:sz w:val="24"/>
              </w:rPr>
            </w:pPr>
          </w:p>
        </w:tc>
      </w:tr>
      <w:tr w:rsidR="007B665D" w:rsidTr="007B665D">
        <w:trPr>
          <w:trHeight w:val="55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个别制度内容略有不足。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113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无制度，或者制度内容严重不足。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519"/>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5.3</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出厂检验记录制度</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建立出厂检验记录制度，并规定食品出厂时，应当查验出厂食品的检验合格证和安全状况，记录食品的名称、规格、数量、生产日期或者生产批号、保质期、检验合格证号、销售日期以及购货者名称、地址、联系方式等信息，保存相关记录和凭证。</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rPr>
                <w:rFonts w:eastAsia="仿宋_GB2312"/>
                <w:kern w:val="0"/>
                <w:sz w:val="24"/>
              </w:rPr>
            </w:pPr>
          </w:p>
        </w:tc>
      </w:tr>
      <w:tr w:rsidR="007B665D" w:rsidTr="007B665D">
        <w:trPr>
          <w:trHeight w:val="55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制度内容略有不足。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143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无制度，或者制度内容严重不足。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309"/>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lastRenderedPageBreak/>
              <w:t>5.4</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不安全食品召回制度及不合格品管理</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1.</w:t>
            </w:r>
            <w:r>
              <w:rPr>
                <w:rFonts w:eastAsia="仿宋_GB2312" w:hint="eastAsia"/>
                <w:kern w:val="0"/>
                <w:sz w:val="24"/>
              </w:rPr>
              <w:t>应</w:t>
            </w:r>
            <w:r>
              <w:rPr>
                <w:rFonts w:eastAsia="仿宋_GB2312" w:hint="eastAsia"/>
                <w:sz w:val="24"/>
              </w:rPr>
              <w:t>当</w:t>
            </w:r>
            <w:r>
              <w:rPr>
                <w:rFonts w:eastAsia="仿宋_GB2312" w:hint="eastAsia"/>
                <w:kern w:val="0"/>
                <w:sz w:val="24"/>
              </w:rPr>
              <w:t>建立不安全食品召回制度，并规定停止生产、召回和处置不安全食品的相关要求，记录召回和通知情况。</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jc w:val="center"/>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制度内容略有不足。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无制度，或者制度内容严重不足。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 xml:space="preserve">2. </w:t>
            </w:r>
            <w:r>
              <w:rPr>
                <w:rFonts w:eastAsia="仿宋_GB2312" w:hint="eastAsia"/>
                <w:kern w:val="0"/>
                <w:sz w:val="24"/>
              </w:rPr>
              <w:t>应</w:t>
            </w:r>
            <w:r>
              <w:rPr>
                <w:rFonts w:eastAsia="仿宋_GB2312" w:hint="eastAsia"/>
                <w:sz w:val="24"/>
              </w:rPr>
              <w:t>当</w:t>
            </w:r>
            <w:r>
              <w:rPr>
                <w:rFonts w:eastAsia="仿宋_GB2312" w:hint="eastAsia"/>
                <w:kern w:val="0"/>
                <w:sz w:val="24"/>
              </w:rPr>
              <w:t>规定生产过程中发现的原辅料、半成品、成品中不合格品的管理要求和处置措施。</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管理要求和处置措施略有不足。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无相关规定，或者管理要求和处置措施严重不足。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5.5</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食品安全自查制度</w:t>
            </w:r>
            <w:r>
              <w:rPr>
                <w:rFonts w:eastAsia="仿宋_GB2312" w:hint="eastAsia"/>
                <w:kern w:val="0"/>
                <w:sz w:val="22"/>
              </w:rPr>
              <w:t xml:space="preserve">　</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建立食品安全自查制度，并规定对食品安全状况定期进行检查评价，并根据评价结果采取相应的处理措施。</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制度内容略有不足。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无制度，或者制度内容严重不足。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5.6</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食品安全事故处置方案</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建立食品安全事故处置方案，并规定食品安全事故处置措施及向相关食品安全监管部门和卫生行政部门报告的要求。</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方案内容略有不足。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无方案，或者方案内容严重不足。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kern w:val="0"/>
                <w:sz w:val="24"/>
              </w:rPr>
              <w:t>5.7</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其他制度</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应</w:t>
            </w:r>
            <w:r>
              <w:rPr>
                <w:rFonts w:eastAsia="仿宋_GB2312" w:hint="eastAsia"/>
                <w:sz w:val="24"/>
              </w:rPr>
              <w:t>当</w:t>
            </w:r>
            <w:r>
              <w:rPr>
                <w:rFonts w:eastAsia="仿宋_GB2312" w:hint="eastAsia"/>
                <w:kern w:val="0"/>
                <w:sz w:val="24"/>
              </w:rPr>
              <w:t>按照相关法律法规、食品安全标准以及审查细则规定，建立其他保障食品安全的管理制度。</w:t>
            </w: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符合规定要求。</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3</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700" w:type="dxa"/>
            <w:vMerge w:val="restart"/>
            <w:tcBorders>
              <w:top w:val="single" w:sz="4" w:space="0" w:color="auto"/>
              <w:left w:val="single" w:sz="4" w:space="0" w:color="auto"/>
              <w:bottom w:val="single" w:sz="4" w:space="0" w:color="auto"/>
              <w:right w:val="single" w:sz="4" w:space="0" w:color="auto"/>
            </w:tcBorders>
          </w:tcPr>
          <w:p w:rsidR="007B665D" w:rsidRDefault="007B665D">
            <w:pPr>
              <w:widowControl/>
              <w:jc w:val="center"/>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个别制度内容略有不足。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trHeight w:val="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spacing w:line="360" w:lineRule="exact"/>
              <w:rPr>
                <w:rFonts w:eastAsia="仿宋_GB2312"/>
                <w:kern w:val="0"/>
                <w:sz w:val="24"/>
              </w:rPr>
            </w:pPr>
            <w:r>
              <w:rPr>
                <w:rFonts w:eastAsia="仿宋_GB2312" w:hint="eastAsia"/>
                <w:kern w:val="0"/>
                <w:sz w:val="24"/>
              </w:rPr>
              <w:t>无制度，或者制度内容严重不足。</w:t>
            </w:r>
          </w:p>
        </w:tc>
        <w:tc>
          <w:tcPr>
            <w:tcW w:w="540"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bl>
    <w:p w:rsidR="007B665D" w:rsidRDefault="007B665D" w:rsidP="000F38EE">
      <w:pPr>
        <w:spacing w:beforeLines="100" w:afterLines="50" w:line="400" w:lineRule="exact"/>
        <w:jc w:val="center"/>
        <w:outlineLvl w:val="0"/>
        <w:rPr>
          <w:rFonts w:eastAsia="黑体"/>
          <w:sz w:val="32"/>
          <w:szCs w:val="32"/>
        </w:rPr>
      </w:pPr>
      <w:r>
        <w:rPr>
          <w:rFonts w:eastAsia="黑体" w:hint="eastAsia"/>
          <w:sz w:val="32"/>
          <w:szCs w:val="32"/>
        </w:rPr>
        <w:lastRenderedPageBreak/>
        <w:t>六、试制产品检验合格报告（共</w:t>
      </w:r>
      <w:r>
        <w:rPr>
          <w:rFonts w:eastAsia="黑体"/>
          <w:sz w:val="32"/>
          <w:szCs w:val="32"/>
        </w:rPr>
        <w:t>1</w:t>
      </w:r>
      <w:r>
        <w:rPr>
          <w:rFonts w:eastAsia="黑体" w:hint="eastAsia"/>
          <w:sz w:val="32"/>
          <w:szCs w:val="32"/>
        </w:rPr>
        <w:t>分）</w:t>
      </w:r>
    </w:p>
    <w:tbl>
      <w:tblPr>
        <w:tblW w:w="13467" w:type="dxa"/>
        <w:tblInd w:w="5" w:type="dxa"/>
        <w:tblCellMar>
          <w:left w:w="0" w:type="dxa"/>
          <w:right w:w="0" w:type="dxa"/>
        </w:tblCellMar>
        <w:tblLook w:val="00A0"/>
      </w:tblPr>
      <w:tblGrid>
        <w:gridCol w:w="709"/>
        <w:gridCol w:w="1418"/>
        <w:gridCol w:w="3969"/>
        <w:gridCol w:w="2976"/>
        <w:gridCol w:w="426"/>
        <w:gridCol w:w="1275"/>
        <w:gridCol w:w="2694"/>
      </w:tblGrid>
      <w:tr w:rsidR="007B665D" w:rsidTr="007B665D">
        <w:trPr>
          <w:cantSplit/>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序号</w:t>
            </w:r>
          </w:p>
        </w:tc>
        <w:tc>
          <w:tcPr>
            <w:tcW w:w="1418"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核查项目</w:t>
            </w:r>
          </w:p>
        </w:tc>
        <w:tc>
          <w:tcPr>
            <w:tcW w:w="3969"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核查内容</w:t>
            </w:r>
          </w:p>
        </w:tc>
        <w:tc>
          <w:tcPr>
            <w:tcW w:w="3402" w:type="dxa"/>
            <w:gridSpan w:val="2"/>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评分标准</w:t>
            </w:r>
          </w:p>
        </w:tc>
        <w:tc>
          <w:tcPr>
            <w:tcW w:w="1275"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核查得分</w:t>
            </w:r>
          </w:p>
        </w:tc>
        <w:tc>
          <w:tcPr>
            <w:tcW w:w="2694" w:type="dxa"/>
            <w:tcBorders>
              <w:top w:val="single" w:sz="4" w:space="0" w:color="auto"/>
              <w:left w:val="nil"/>
              <w:bottom w:val="single" w:sz="4" w:space="0" w:color="auto"/>
              <w:right w:val="single" w:sz="4" w:space="0" w:color="auto"/>
            </w:tcBorders>
            <w:vAlign w:val="center"/>
            <w:hideMark/>
          </w:tcPr>
          <w:p w:rsidR="007B665D" w:rsidRDefault="007B665D">
            <w:pPr>
              <w:widowControl/>
              <w:jc w:val="center"/>
              <w:rPr>
                <w:rFonts w:eastAsia="仿宋_GB2312"/>
                <w:bCs/>
                <w:kern w:val="0"/>
                <w:sz w:val="24"/>
              </w:rPr>
            </w:pPr>
            <w:r>
              <w:rPr>
                <w:rFonts w:eastAsia="仿宋_GB2312" w:hint="eastAsia"/>
                <w:bCs/>
                <w:kern w:val="0"/>
                <w:sz w:val="24"/>
              </w:rPr>
              <w:t>核查记录</w:t>
            </w:r>
          </w:p>
        </w:tc>
      </w:tr>
      <w:tr w:rsidR="007B665D" w:rsidTr="007B665D">
        <w:trPr>
          <w:cantSplit/>
          <w:trHeight w:val="574"/>
        </w:trPr>
        <w:tc>
          <w:tcPr>
            <w:tcW w:w="70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6.1</w:t>
            </w:r>
          </w:p>
        </w:tc>
        <w:tc>
          <w:tcPr>
            <w:tcW w:w="1418"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hint="eastAsia"/>
                <w:kern w:val="0"/>
                <w:sz w:val="24"/>
              </w:rPr>
              <w:t>试制产品检验合格报告</w:t>
            </w:r>
          </w:p>
        </w:tc>
        <w:tc>
          <w:tcPr>
            <w:tcW w:w="3969"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spacing w:val="4"/>
                <w:kern w:val="0"/>
                <w:sz w:val="24"/>
              </w:rPr>
            </w:pPr>
            <w:r>
              <w:rPr>
                <w:rFonts w:eastAsia="仿宋_GB2312" w:hint="eastAsia"/>
                <w:spacing w:val="4"/>
                <w:kern w:val="0"/>
                <w:sz w:val="24"/>
              </w:rPr>
              <w:t>应</w:t>
            </w:r>
            <w:r>
              <w:rPr>
                <w:rFonts w:eastAsia="仿宋_GB2312" w:hint="eastAsia"/>
                <w:spacing w:val="4"/>
                <w:sz w:val="24"/>
              </w:rPr>
              <w:t>当</w:t>
            </w:r>
            <w:r>
              <w:rPr>
                <w:rFonts w:eastAsia="仿宋_GB2312" w:hint="eastAsia"/>
                <w:spacing w:val="4"/>
                <w:kern w:val="0"/>
                <w:sz w:val="24"/>
              </w:rPr>
              <w:t>提交符合审查细则有关要求的</w:t>
            </w:r>
          </w:p>
          <w:p w:rsidR="007B665D" w:rsidRDefault="007B665D">
            <w:pPr>
              <w:widowControl/>
              <w:rPr>
                <w:rFonts w:eastAsia="仿宋_GB2312"/>
                <w:kern w:val="0"/>
                <w:sz w:val="24"/>
              </w:rPr>
            </w:pPr>
            <w:r>
              <w:rPr>
                <w:rFonts w:eastAsia="仿宋_GB2312" w:hint="eastAsia"/>
                <w:kern w:val="0"/>
                <w:sz w:val="24"/>
              </w:rPr>
              <w:t>试制产品检验合格报告。</w:t>
            </w: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符合规定要求。</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1</w:t>
            </w:r>
          </w:p>
        </w:tc>
        <w:tc>
          <w:tcPr>
            <w:tcW w:w="1275" w:type="dxa"/>
            <w:vMerge w:val="restart"/>
            <w:tcBorders>
              <w:top w:val="nil"/>
              <w:left w:val="single" w:sz="4" w:space="0" w:color="auto"/>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 xml:space="preserve">　</w:t>
            </w:r>
          </w:p>
        </w:tc>
        <w:tc>
          <w:tcPr>
            <w:tcW w:w="2694" w:type="dxa"/>
            <w:vMerge w:val="restart"/>
            <w:tcBorders>
              <w:top w:val="nil"/>
              <w:left w:val="single" w:sz="4" w:space="0" w:color="auto"/>
              <w:bottom w:val="single" w:sz="4" w:space="0" w:color="auto"/>
              <w:right w:val="single" w:sz="4" w:space="0" w:color="auto"/>
            </w:tcBorders>
            <w:vAlign w:val="center"/>
          </w:tcPr>
          <w:p w:rsidR="007B665D" w:rsidRDefault="007B665D">
            <w:pPr>
              <w:widowControl/>
              <w:rPr>
                <w:rFonts w:eastAsia="仿宋_GB2312"/>
                <w:kern w:val="0"/>
                <w:sz w:val="24"/>
              </w:rPr>
            </w:pPr>
          </w:p>
        </w:tc>
      </w:tr>
      <w:tr w:rsidR="007B665D" w:rsidTr="007B665D">
        <w:trPr>
          <w:cantSplit/>
          <w:trHeight w:val="836"/>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非食品安全标准规定的检验项目不全。</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0.5</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r w:rsidR="007B665D" w:rsidTr="007B665D">
        <w:trPr>
          <w:cantSplit/>
          <w:trHeight w:val="1118"/>
        </w:trPr>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2976" w:type="dxa"/>
            <w:tcBorders>
              <w:top w:val="nil"/>
              <w:left w:val="nil"/>
              <w:bottom w:val="single" w:sz="4" w:space="0" w:color="auto"/>
              <w:right w:val="single" w:sz="4" w:space="0" w:color="auto"/>
            </w:tcBorders>
            <w:vAlign w:val="center"/>
            <w:hideMark/>
          </w:tcPr>
          <w:p w:rsidR="007B665D" w:rsidRDefault="007B665D">
            <w:pPr>
              <w:widowControl/>
              <w:rPr>
                <w:rFonts w:eastAsia="仿宋_GB2312"/>
                <w:kern w:val="0"/>
                <w:sz w:val="24"/>
              </w:rPr>
            </w:pPr>
            <w:r>
              <w:rPr>
                <w:rFonts w:eastAsia="仿宋_GB2312" w:hint="eastAsia"/>
                <w:kern w:val="0"/>
                <w:sz w:val="24"/>
              </w:rPr>
              <w:t>无检验合格报告，或者食品安全标准规定的检验项目不全。</w:t>
            </w:r>
          </w:p>
        </w:tc>
        <w:tc>
          <w:tcPr>
            <w:tcW w:w="426" w:type="dxa"/>
            <w:tcBorders>
              <w:top w:val="nil"/>
              <w:left w:val="nil"/>
              <w:bottom w:val="single" w:sz="4" w:space="0" w:color="auto"/>
              <w:right w:val="single" w:sz="4" w:space="0" w:color="auto"/>
            </w:tcBorders>
            <w:vAlign w:val="center"/>
            <w:hideMark/>
          </w:tcPr>
          <w:p w:rsidR="007B665D" w:rsidRDefault="007B665D">
            <w:pPr>
              <w:widowControl/>
              <w:jc w:val="center"/>
              <w:rPr>
                <w:rFonts w:eastAsia="仿宋_GB2312"/>
                <w:kern w:val="0"/>
                <w:sz w:val="24"/>
              </w:rPr>
            </w:pPr>
            <w:r>
              <w:rPr>
                <w:rFonts w:eastAsia="仿宋_GB2312"/>
                <w:kern w:val="0"/>
                <w:sz w:val="24"/>
              </w:rPr>
              <w:t>0</w:t>
            </w: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c>
          <w:tcPr>
            <w:tcW w:w="0" w:type="auto"/>
            <w:vMerge/>
            <w:tcBorders>
              <w:top w:val="nil"/>
              <w:left w:val="single" w:sz="4" w:space="0" w:color="auto"/>
              <w:bottom w:val="single" w:sz="4" w:space="0" w:color="auto"/>
              <w:right w:val="single" w:sz="4" w:space="0" w:color="auto"/>
            </w:tcBorders>
            <w:vAlign w:val="center"/>
            <w:hideMark/>
          </w:tcPr>
          <w:p w:rsidR="007B665D" w:rsidRDefault="007B665D">
            <w:pPr>
              <w:widowControl/>
              <w:jc w:val="left"/>
              <w:rPr>
                <w:rFonts w:eastAsia="仿宋_GB2312"/>
                <w:kern w:val="0"/>
                <w:sz w:val="24"/>
              </w:rPr>
            </w:pPr>
          </w:p>
        </w:tc>
      </w:tr>
    </w:tbl>
    <w:p w:rsidR="004818F5" w:rsidRPr="007B665D" w:rsidRDefault="004818F5" w:rsidP="006366FD">
      <w:pPr>
        <w:spacing w:line="600" w:lineRule="exact"/>
        <w:outlineLvl w:val="0"/>
      </w:pPr>
      <w:bookmarkStart w:id="0" w:name="_GoBack"/>
      <w:bookmarkEnd w:id="0"/>
    </w:p>
    <w:sectPr w:rsidR="004818F5" w:rsidRPr="007B665D" w:rsidSect="006366FD">
      <w:pgSz w:w="16838" w:h="11906" w:orient="landscape"/>
      <w:pgMar w:top="1701" w:right="1701" w:bottom="1701" w:left="1701" w:header="1134" w:footer="1134"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97A" w:rsidRDefault="0074297A" w:rsidP="00B10E6E">
      <w:r>
        <w:separator/>
      </w:r>
    </w:p>
  </w:endnote>
  <w:endnote w:type="continuationSeparator" w:id="1">
    <w:p w:rsidR="0074297A" w:rsidRDefault="0074297A" w:rsidP="00B10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97A" w:rsidRDefault="0074297A" w:rsidP="00B10E6E">
      <w:r>
        <w:separator/>
      </w:r>
    </w:p>
  </w:footnote>
  <w:footnote w:type="continuationSeparator" w:id="1">
    <w:p w:rsidR="0074297A" w:rsidRDefault="0074297A" w:rsidP="00B10E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2939"/>
    <w:rsid w:val="000F38EE"/>
    <w:rsid w:val="00182939"/>
    <w:rsid w:val="004818F5"/>
    <w:rsid w:val="006366FD"/>
    <w:rsid w:val="0074297A"/>
    <w:rsid w:val="007B665D"/>
    <w:rsid w:val="00B015C1"/>
    <w:rsid w:val="00B10E6E"/>
    <w:rsid w:val="00E6181B"/>
    <w:rsid w:val="00F04C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B665D"/>
    <w:rPr>
      <w:color w:val="0000FF"/>
      <w:u w:val="single"/>
    </w:rPr>
  </w:style>
  <w:style w:type="character" w:styleId="a4">
    <w:name w:val="FollowedHyperlink"/>
    <w:basedOn w:val="a0"/>
    <w:uiPriority w:val="99"/>
    <w:semiHidden/>
    <w:unhideWhenUsed/>
    <w:rsid w:val="007B665D"/>
    <w:rPr>
      <w:color w:val="800080" w:themeColor="followedHyperlink"/>
      <w:u w:val="single"/>
    </w:rPr>
  </w:style>
  <w:style w:type="paragraph" w:styleId="HTML">
    <w:name w:val="HTML Preformatted"/>
    <w:basedOn w:val="a"/>
    <w:link w:val="HTMLChar"/>
    <w:uiPriority w:val="99"/>
    <w:semiHidden/>
    <w:unhideWhenUsed/>
    <w:rsid w:val="007B6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7B665D"/>
    <w:rPr>
      <w:rFonts w:ascii="宋体" w:eastAsia="宋体" w:hAnsi="宋体" w:cs="宋体"/>
      <w:kern w:val="0"/>
      <w:sz w:val="24"/>
      <w:szCs w:val="24"/>
    </w:rPr>
  </w:style>
  <w:style w:type="paragraph" w:styleId="a5">
    <w:name w:val="annotation text"/>
    <w:basedOn w:val="a"/>
    <w:link w:val="Char"/>
    <w:uiPriority w:val="99"/>
    <w:semiHidden/>
    <w:unhideWhenUsed/>
    <w:rsid w:val="007B665D"/>
    <w:pPr>
      <w:jc w:val="left"/>
    </w:pPr>
    <w:rPr>
      <w:rFonts w:ascii="Calibri" w:hAnsi="Calibri"/>
      <w:szCs w:val="22"/>
    </w:rPr>
  </w:style>
  <w:style w:type="character" w:customStyle="1" w:styleId="Char">
    <w:name w:val="批注文字 Char"/>
    <w:basedOn w:val="a0"/>
    <w:link w:val="a5"/>
    <w:uiPriority w:val="99"/>
    <w:semiHidden/>
    <w:rsid w:val="007B665D"/>
    <w:rPr>
      <w:rFonts w:ascii="Calibri" w:eastAsia="宋体" w:hAnsi="Calibri" w:cs="Times New Roman"/>
    </w:rPr>
  </w:style>
  <w:style w:type="paragraph" w:styleId="a6">
    <w:name w:val="header"/>
    <w:basedOn w:val="a"/>
    <w:link w:val="Char0"/>
    <w:uiPriority w:val="99"/>
    <w:semiHidden/>
    <w:unhideWhenUsed/>
    <w:rsid w:val="007B66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B665D"/>
    <w:rPr>
      <w:rFonts w:ascii="Times New Roman" w:eastAsia="宋体" w:hAnsi="Times New Roman" w:cs="Times New Roman"/>
      <w:sz w:val="18"/>
      <w:szCs w:val="18"/>
    </w:rPr>
  </w:style>
  <w:style w:type="paragraph" w:styleId="a7">
    <w:name w:val="footer"/>
    <w:basedOn w:val="a"/>
    <w:link w:val="Char1"/>
    <w:uiPriority w:val="99"/>
    <w:semiHidden/>
    <w:unhideWhenUsed/>
    <w:rsid w:val="007B665D"/>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B665D"/>
    <w:rPr>
      <w:rFonts w:ascii="Times New Roman" w:eastAsia="宋体" w:hAnsi="Times New Roman" w:cs="Times New Roman"/>
      <w:sz w:val="18"/>
      <w:szCs w:val="18"/>
    </w:rPr>
  </w:style>
  <w:style w:type="paragraph" w:styleId="a8">
    <w:name w:val="Body Text"/>
    <w:basedOn w:val="a"/>
    <w:link w:val="Char2"/>
    <w:uiPriority w:val="99"/>
    <w:semiHidden/>
    <w:unhideWhenUsed/>
    <w:rsid w:val="007B665D"/>
    <w:pPr>
      <w:spacing w:after="120"/>
    </w:pPr>
    <w:rPr>
      <w:kern w:val="0"/>
      <w:sz w:val="24"/>
      <w:szCs w:val="20"/>
    </w:rPr>
  </w:style>
  <w:style w:type="character" w:customStyle="1" w:styleId="Char2">
    <w:name w:val="正文文本 Char"/>
    <w:basedOn w:val="a0"/>
    <w:link w:val="a8"/>
    <w:uiPriority w:val="99"/>
    <w:semiHidden/>
    <w:rsid w:val="007B665D"/>
    <w:rPr>
      <w:rFonts w:ascii="Times New Roman" w:eastAsia="宋体" w:hAnsi="Times New Roman" w:cs="Times New Roman"/>
      <w:kern w:val="0"/>
      <w:sz w:val="24"/>
      <w:szCs w:val="20"/>
    </w:rPr>
  </w:style>
  <w:style w:type="paragraph" w:styleId="a9">
    <w:name w:val="Date"/>
    <w:basedOn w:val="a"/>
    <w:next w:val="a"/>
    <w:link w:val="Char3"/>
    <w:uiPriority w:val="99"/>
    <w:semiHidden/>
    <w:unhideWhenUsed/>
    <w:rsid w:val="007B665D"/>
    <w:pPr>
      <w:ind w:leftChars="2500" w:left="100"/>
    </w:pPr>
    <w:rPr>
      <w:rFonts w:ascii="Calibri" w:hAnsi="Calibri"/>
      <w:szCs w:val="22"/>
    </w:rPr>
  </w:style>
  <w:style w:type="character" w:customStyle="1" w:styleId="Char3">
    <w:name w:val="日期 Char"/>
    <w:basedOn w:val="a0"/>
    <w:link w:val="a9"/>
    <w:uiPriority w:val="99"/>
    <w:semiHidden/>
    <w:rsid w:val="007B665D"/>
    <w:rPr>
      <w:rFonts w:ascii="Calibri" w:eastAsia="宋体" w:hAnsi="Calibri" w:cs="Times New Roman"/>
    </w:rPr>
  </w:style>
  <w:style w:type="paragraph" w:styleId="aa">
    <w:name w:val="Document Map"/>
    <w:basedOn w:val="a"/>
    <w:link w:val="Char4"/>
    <w:uiPriority w:val="99"/>
    <w:semiHidden/>
    <w:unhideWhenUsed/>
    <w:rsid w:val="007B665D"/>
    <w:pPr>
      <w:shd w:val="clear" w:color="auto" w:fill="000080"/>
    </w:pPr>
  </w:style>
  <w:style w:type="character" w:customStyle="1" w:styleId="Char4">
    <w:name w:val="文档结构图 Char"/>
    <w:basedOn w:val="a0"/>
    <w:link w:val="aa"/>
    <w:uiPriority w:val="99"/>
    <w:semiHidden/>
    <w:rsid w:val="007B665D"/>
    <w:rPr>
      <w:rFonts w:ascii="Times New Roman" w:eastAsia="宋体" w:hAnsi="Times New Roman" w:cs="Times New Roman"/>
      <w:szCs w:val="24"/>
      <w:shd w:val="clear" w:color="auto" w:fill="000080"/>
    </w:rPr>
  </w:style>
  <w:style w:type="paragraph" w:styleId="ab">
    <w:name w:val="annotation subject"/>
    <w:basedOn w:val="a5"/>
    <w:next w:val="a5"/>
    <w:link w:val="Char5"/>
    <w:uiPriority w:val="99"/>
    <w:semiHidden/>
    <w:unhideWhenUsed/>
    <w:rsid w:val="007B665D"/>
    <w:rPr>
      <w:b/>
      <w:bCs/>
    </w:rPr>
  </w:style>
  <w:style w:type="character" w:customStyle="1" w:styleId="Char5">
    <w:name w:val="批注主题 Char"/>
    <w:basedOn w:val="Char"/>
    <w:link w:val="ab"/>
    <w:uiPriority w:val="99"/>
    <w:semiHidden/>
    <w:rsid w:val="007B665D"/>
    <w:rPr>
      <w:rFonts w:ascii="Calibri" w:eastAsia="宋体" w:hAnsi="Calibri" w:cs="Times New Roman"/>
      <w:b/>
      <w:bCs/>
    </w:rPr>
  </w:style>
  <w:style w:type="paragraph" w:styleId="ac">
    <w:name w:val="Balloon Text"/>
    <w:basedOn w:val="a"/>
    <w:link w:val="Char6"/>
    <w:uiPriority w:val="99"/>
    <w:semiHidden/>
    <w:unhideWhenUsed/>
    <w:rsid w:val="007B665D"/>
    <w:rPr>
      <w:sz w:val="18"/>
      <w:szCs w:val="18"/>
    </w:rPr>
  </w:style>
  <w:style w:type="character" w:customStyle="1" w:styleId="Char6">
    <w:name w:val="批注框文本 Char"/>
    <w:basedOn w:val="a0"/>
    <w:link w:val="ac"/>
    <w:uiPriority w:val="99"/>
    <w:semiHidden/>
    <w:rsid w:val="007B665D"/>
    <w:rPr>
      <w:rFonts w:ascii="Times New Roman" w:eastAsia="宋体" w:hAnsi="Times New Roman" w:cs="Times New Roman"/>
      <w:sz w:val="18"/>
      <w:szCs w:val="18"/>
    </w:rPr>
  </w:style>
  <w:style w:type="paragraph" w:styleId="ad">
    <w:name w:val="Revision"/>
    <w:uiPriority w:val="99"/>
    <w:semiHidden/>
    <w:rsid w:val="007B665D"/>
    <w:rPr>
      <w:rFonts w:ascii="Calibri" w:eastAsia="宋体" w:hAnsi="Calibri" w:cs="Times New Roman"/>
    </w:rPr>
  </w:style>
  <w:style w:type="paragraph" w:styleId="ae">
    <w:name w:val="List Paragraph"/>
    <w:basedOn w:val="a"/>
    <w:uiPriority w:val="99"/>
    <w:qFormat/>
    <w:rsid w:val="007B665D"/>
    <w:pPr>
      <w:ind w:firstLineChars="200" w:firstLine="420"/>
    </w:pPr>
    <w:rPr>
      <w:rFonts w:ascii="Calibri" w:hAnsi="Calibri"/>
      <w:szCs w:val="22"/>
    </w:rPr>
  </w:style>
  <w:style w:type="character" w:styleId="af">
    <w:name w:val="annotation reference"/>
    <w:uiPriority w:val="99"/>
    <w:semiHidden/>
    <w:unhideWhenUsed/>
    <w:rsid w:val="007B665D"/>
    <w:rPr>
      <w:sz w:val="21"/>
      <w:szCs w:val="21"/>
    </w:rPr>
  </w:style>
  <w:style w:type="character" w:customStyle="1" w:styleId="2">
    <w:name w:val="正文文本 (2)_"/>
    <w:uiPriority w:val="99"/>
    <w:rsid w:val="007B665D"/>
  </w:style>
  <w:style w:type="character" w:customStyle="1" w:styleId="Char10">
    <w:name w:val="正文文本 Char1"/>
    <w:basedOn w:val="a0"/>
    <w:uiPriority w:val="99"/>
    <w:rsid w:val="007B665D"/>
    <w:rPr>
      <w:kern w:val="2"/>
      <w:sz w:val="21"/>
      <w:szCs w:val="24"/>
    </w:rPr>
  </w:style>
  <w:style w:type="character" w:customStyle="1" w:styleId="BodyTextChar">
    <w:name w:val="Body Text Char"/>
    <w:uiPriority w:val="99"/>
    <w:locked/>
    <w:rsid w:val="007B665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B665D"/>
    <w:rPr>
      <w:color w:val="0000FF"/>
      <w:u w:val="single"/>
    </w:rPr>
  </w:style>
  <w:style w:type="character" w:styleId="a4">
    <w:name w:val="FollowedHyperlink"/>
    <w:basedOn w:val="a0"/>
    <w:uiPriority w:val="99"/>
    <w:semiHidden/>
    <w:unhideWhenUsed/>
    <w:rsid w:val="007B665D"/>
    <w:rPr>
      <w:color w:val="800080" w:themeColor="followedHyperlink"/>
      <w:u w:val="single"/>
    </w:rPr>
  </w:style>
  <w:style w:type="paragraph" w:styleId="HTML">
    <w:name w:val="HTML Preformatted"/>
    <w:basedOn w:val="a"/>
    <w:link w:val="HTMLChar"/>
    <w:uiPriority w:val="99"/>
    <w:semiHidden/>
    <w:unhideWhenUsed/>
    <w:rsid w:val="007B66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7B665D"/>
    <w:rPr>
      <w:rFonts w:ascii="宋体" w:eastAsia="宋体" w:hAnsi="宋体" w:cs="宋体"/>
      <w:kern w:val="0"/>
      <w:sz w:val="24"/>
      <w:szCs w:val="24"/>
    </w:rPr>
  </w:style>
  <w:style w:type="paragraph" w:styleId="a5">
    <w:name w:val="annotation text"/>
    <w:basedOn w:val="a"/>
    <w:link w:val="Char"/>
    <w:uiPriority w:val="99"/>
    <w:semiHidden/>
    <w:unhideWhenUsed/>
    <w:rsid w:val="007B665D"/>
    <w:pPr>
      <w:jc w:val="left"/>
    </w:pPr>
    <w:rPr>
      <w:rFonts w:ascii="Calibri" w:hAnsi="Calibri"/>
      <w:szCs w:val="22"/>
    </w:rPr>
  </w:style>
  <w:style w:type="character" w:customStyle="1" w:styleId="Char">
    <w:name w:val="批注文字 Char"/>
    <w:basedOn w:val="a0"/>
    <w:link w:val="a5"/>
    <w:uiPriority w:val="99"/>
    <w:semiHidden/>
    <w:rsid w:val="007B665D"/>
    <w:rPr>
      <w:rFonts w:ascii="Calibri" w:eastAsia="宋体" w:hAnsi="Calibri" w:cs="Times New Roman"/>
    </w:rPr>
  </w:style>
  <w:style w:type="paragraph" w:styleId="a6">
    <w:name w:val="header"/>
    <w:basedOn w:val="a"/>
    <w:link w:val="Char0"/>
    <w:uiPriority w:val="99"/>
    <w:semiHidden/>
    <w:unhideWhenUsed/>
    <w:rsid w:val="007B66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B665D"/>
    <w:rPr>
      <w:rFonts w:ascii="Times New Roman" w:eastAsia="宋体" w:hAnsi="Times New Roman" w:cs="Times New Roman"/>
      <w:sz w:val="18"/>
      <w:szCs w:val="18"/>
    </w:rPr>
  </w:style>
  <w:style w:type="paragraph" w:styleId="a7">
    <w:name w:val="footer"/>
    <w:basedOn w:val="a"/>
    <w:link w:val="Char1"/>
    <w:uiPriority w:val="99"/>
    <w:semiHidden/>
    <w:unhideWhenUsed/>
    <w:rsid w:val="007B665D"/>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B665D"/>
    <w:rPr>
      <w:rFonts w:ascii="Times New Roman" w:eastAsia="宋体" w:hAnsi="Times New Roman" w:cs="Times New Roman"/>
      <w:sz w:val="18"/>
      <w:szCs w:val="18"/>
    </w:rPr>
  </w:style>
  <w:style w:type="paragraph" w:styleId="a8">
    <w:name w:val="Body Text"/>
    <w:basedOn w:val="a"/>
    <w:link w:val="Char2"/>
    <w:uiPriority w:val="99"/>
    <w:semiHidden/>
    <w:unhideWhenUsed/>
    <w:rsid w:val="007B665D"/>
    <w:pPr>
      <w:spacing w:after="120"/>
    </w:pPr>
    <w:rPr>
      <w:kern w:val="0"/>
      <w:sz w:val="24"/>
      <w:szCs w:val="20"/>
    </w:rPr>
  </w:style>
  <w:style w:type="character" w:customStyle="1" w:styleId="Char2">
    <w:name w:val="正文文本 Char"/>
    <w:basedOn w:val="a0"/>
    <w:link w:val="a8"/>
    <w:uiPriority w:val="99"/>
    <w:semiHidden/>
    <w:rsid w:val="007B665D"/>
    <w:rPr>
      <w:rFonts w:ascii="Times New Roman" w:eastAsia="宋体" w:hAnsi="Times New Roman" w:cs="Times New Roman"/>
      <w:kern w:val="0"/>
      <w:sz w:val="24"/>
      <w:szCs w:val="20"/>
    </w:rPr>
  </w:style>
  <w:style w:type="paragraph" w:styleId="a9">
    <w:name w:val="Date"/>
    <w:basedOn w:val="a"/>
    <w:next w:val="a"/>
    <w:link w:val="Char3"/>
    <w:uiPriority w:val="99"/>
    <w:semiHidden/>
    <w:unhideWhenUsed/>
    <w:rsid w:val="007B665D"/>
    <w:pPr>
      <w:ind w:leftChars="2500" w:left="100"/>
    </w:pPr>
    <w:rPr>
      <w:rFonts w:ascii="Calibri" w:hAnsi="Calibri"/>
      <w:szCs w:val="22"/>
    </w:rPr>
  </w:style>
  <w:style w:type="character" w:customStyle="1" w:styleId="Char3">
    <w:name w:val="日期 Char"/>
    <w:basedOn w:val="a0"/>
    <w:link w:val="a9"/>
    <w:uiPriority w:val="99"/>
    <w:semiHidden/>
    <w:rsid w:val="007B665D"/>
    <w:rPr>
      <w:rFonts w:ascii="Calibri" w:eastAsia="宋体" w:hAnsi="Calibri" w:cs="Times New Roman"/>
    </w:rPr>
  </w:style>
  <w:style w:type="paragraph" w:styleId="aa">
    <w:name w:val="Document Map"/>
    <w:basedOn w:val="a"/>
    <w:link w:val="Char4"/>
    <w:uiPriority w:val="99"/>
    <w:semiHidden/>
    <w:unhideWhenUsed/>
    <w:rsid w:val="007B665D"/>
    <w:pPr>
      <w:shd w:val="clear" w:color="auto" w:fill="000080"/>
    </w:pPr>
  </w:style>
  <w:style w:type="character" w:customStyle="1" w:styleId="Char4">
    <w:name w:val="文档结构图 Char"/>
    <w:basedOn w:val="a0"/>
    <w:link w:val="aa"/>
    <w:uiPriority w:val="99"/>
    <w:semiHidden/>
    <w:rsid w:val="007B665D"/>
    <w:rPr>
      <w:rFonts w:ascii="Times New Roman" w:eastAsia="宋体" w:hAnsi="Times New Roman" w:cs="Times New Roman"/>
      <w:szCs w:val="24"/>
      <w:shd w:val="clear" w:color="auto" w:fill="000080"/>
    </w:rPr>
  </w:style>
  <w:style w:type="paragraph" w:styleId="ab">
    <w:name w:val="annotation subject"/>
    <w:basedOn w:val="a5"/>
    <w:next w:val="a5"/>
    <w:link w:val="Char5"/>
    <w:uiPriority w:val="99"/>
    <w:semiHidden/>
    <w:unhideWhenUsed/>
    <w:rsid w:val="007B665D"/>
    <w:rPr>
      <w:b/>
      <w:bCs/>
    </w:rPr>
  </w:style>
  <w:style w:type="character" w:customStyle="1" w:styleId="Char5">
    <w:name w:val="批注主题 Char"/>
    <w:basedOn w:val="Char"/>
    <w:link w:val="ab"/>
    <w:uiPriority w:val="99"/>
    <w:semiHidden/>
    <w:rsid w:val="007B665D"/>
    <w:rPr>
      <w:rFonts w:ascii="Calibri" w:eastAsia="宋体" w:hAnsi="Calibri" w:cs="Times New Roman"/>
      <w:b/>
      <w:bCs/>
    </w:rPr>
  </w:style>
  <w:style w:type="paragraph" w:styleId="ac">
    <w:name w:val="Balloon Text"/>
    <w:basedOn w:val="a"/>
    <w:link w:val="Char6"/>
    <w:uiPriority w:val="99"/>
    <w:semiHidden/>
    <w:unhideWhenUsed/>
    <w:rsid w:val="007B665D"/>
    <w:rPr>
      <w:sz w:val="18"/>
      <w:szCs w:val="18"/>
    </w:rPr>
  </w:style>
  <w:style w:type="character" w:customStyle="1" w:styleId="Char6">
    <w:name w:val="批注框文本 Char"/>
    <w:basedOn w:val="a0"/>
    <w:link w:val="ac"/>
    <w:uiPriority w:val="99"/>
    <w:semiHidden/>
    <w:rsid w:val="007B665D"/>
    <w:rPr>
      <w:rFonts w:ascii="Times New Roman" w:eastAsia="宋体" w:hAnsi="Times New Roman" w:cs="Times New Roman"/>
      <w:sz w:val="18"/>
      <w:szCs w:val="18"/>
    </w:rPr>
  </w:style>
  <w:style w:type="paragraph" w:styleId="ad">
    <w:name w:val="Revision"/>
    <w:uiPriority w:val="99"/>
    <w:semiHidden/>
    <w:rsid w:val="007B665D"/>
    <w:rPr>
      <w:rFonts w:ascii="Calibri" w:eastAsia="宋体" w:hAnsi="Calibri" w:cs="Times New Roman"/>
    </w:rPr>
  </w:style>
  <w:style w:type="paragraph" w:styleId="ae">
    <w:name w:val="List Paragraph"/>
    <w:basedOn w:val="a"/>
    <w:uiPriority w:val="99"/>
    <w:qFormat/>
    <w:rsid w:val="007B665D"/>
    <w:pPr>
      <w:ind w:firstLineChars="200" w:firstLine="420"/>
    </w:pPr>
    <w:rPr>
      <w:rFonts w:ascii="Calibri" w:hAnsi="Calibri"/>
      <w:szCs w:val="22"/>
    </w:rPr>
  </w:style>
  <w:style w:type="character" w:styleId="af">
    <w:name w:val="annotation reference"/>
    <w:uiPriority w:val="99"/>
    <w:semiHidden/>
    <w:unhideWhenUsed/>
    <w:rsid w:val="007B665D"/>
    <w:rPr>
      <w:sz w:val="21"/>
      <w:szCs w:val="21"/>
    </w:rPr>
  </w:style>
  <w:style w:type="character" w:customStyle="1" w:styleId="2">
    <w:name w:val="正文文本 (2)_"/>
    <w:uiPriority w:val="99"/>
    <w:rsid w:val="007B665D"/>
  </w:style>
  <w:style w:type="character" w:customStyle="1" w:styleId="Char10">
    <w:name w:val="正文文本 Char1"/>
    <w:basedOn w:val="a0"/>
    <w:uiPriority w:val="99"/>
    <w:rsid w:val="007B665D"/>
    <w:rPr>
      <w:kern w:val="2"/>
      <w:sz w:val="21"/>
      <w:szCs w:val="24"/>
    </w:rPr>
  </w:style>
  <w:style w:type="character" w:customStyle="1" w:styleId="BodyTextChar">
    <w:name w:val="Body Text Char"/>
    <w:uiPriority w:val="99"/>
    <w:locked/>
    <w:rsid w:val="007B665D"/>
    <w:rPr>
      <w:sz w:val="24"/>
    </w:rPr>
  </w:style>
</w:styles>
</file>

<file path=word/webSettings.xml><?xml version="1.0" encoding="utf-8"?>
<w:webSettings xmlns:r="http://schemas.openxmlformats.org/officeDocument/2006/relationships" xmlns:w="http://schemas.openxmlformats.org/wordprocessingml/2006/main">
  <w:divs>
    <w:div w:id="82262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913</Words>
  <Characters>5206</Characters>
  <Application>Microsoft Office Word</Application>
  <DocSecurity>0</DocSecurity>
  <Lines>43</Lines>
  <Paragraphs>12</Paragraphs>
  <ScaleCrop>false</ScaleCrop>
  <Company>CFDA</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3</cp:revision>
  <dcterms:created xsi:type="dcterms:W3CDTF">2016-08-16T06:00:00Z</dcterms:created>
  <dcterms:modified xsi:type="dcterms:W3CDTF">2016-08-16T06:45:00Z</dcterms:modified>
</cp:coreProperties>
</file>